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F3" w:rsidRDefault="00E250FD" w:rsidP="000A7753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  <w:r w:rsidRPr="003F07F3">
        <w:rPr>
          <w:rFonts w:ascii="Calibri" w:hAnsi="Calibri"/>
          <w:b/>
        </w:rPr>
        <w:t>Otázka:</w:t>
      </w:r>
      <w:r>
        <w:rPr>
          <w:rFonts w:ascii="Calibri" w:hAnsi="Calibri"/>
        </w:rPr>
        <w:t xml:space="preserve"> </w:t>
      </w:r>
    </w:p>
    <w:p w:rsidR="00AC2F32" w:rsidRPr="00077FCA" w:rsidRDefault="00E250FD" w:rsidP="000A775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 </w:t>
      </w:r>
      <w:r w:rsidR="00077FCA">
        <w:rPr>
          <w:rFonts w:ascii="Calibri" w:hAnsi="Calibri"/>
          <w:noProof/>
          <w:color w:val="000000"/>
          <w:highlight w:val="black"/>
        </w:rPr>
        <w:t>''''''''''''''' ''''''''''''''''''''''''' ''''''''''''''''''' ''''''''''' '''''' ''''' '''''''''''''' ''''''''''''''' '''''''' '''''''''''''''''''''''''''' ''''''''''''''''''' '''''''''''''' '''''''''''''''''' ''''' '''''''''' ''''''''''''''''' '''''''''''''''''''''' '''''' '''''''''''''''' '''''''''' ''''''''''''' ''</w:t>
      </w:r>
    </w:p>
    <w:p w:rsidR="00E250FD" w:rsidRPr="00077FCA" w:rsidRDefault="00E250FD" w:rsidP="003F07F3">
      <w:pPr>
        <w:spacing w:after="0" w:line="240" w:lineRule="auto"/>
        <w:rPr>
          <w:rFonts w:ascii="Calibri" w:hAnsi="Calibri"/>
        </w:rPr>
      </w:pPr>
    </w:p>
    <w:p w:rsidR="008A0381" w:rsidRPr="00A9129F" w:rsidRDefault="008A0381" w:rsidP="003F07F3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>Výjimka ze zákona o registru smluv:</w:t>
      </w:r>
    </w:p>
    <w:p w:rsidR="008A0381" w:rsidRDefault="00D51D75" w:rsidP="003F07F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Povinnost uveřejnit prostřednictvím registru smluv se nevztahuje </w:t>
      </w: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>:</w:t>
      </w:r>
    </w:p>
    <w:p w:rsidR="00D51D75" w:rsidRDefault="008A0381" w:rsidP="00D5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494">
        <w:rPr>
          <w:rFonts w:ascii="Calibri" w:hAnsi="Calibri"/>
        </w:rPr>
        <w:t>§ 3 odst. 2 písm. e) [Některé smlouvy uzavřené adhezním způsobem]</w:t>
      </w:r>
    </w:p>
    <w:p w:rsidR="00D51D75" w:rsidRPr="00D51D75" w:rsidRDefault="00D51D75" w:rsidP="00D51D75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D51D75">
        <w:rPr>
          <w:rFonts w:ascii="Calibri" w:hAnsi="Calibri"/>
          <w:b/>
        </w:rPr>
        <w:t xml:space="preserve">smlouvu </w:t>
      </w:r>
      <w:proofErr w:type="gramStart"/>
      <w:r w:rsidRPr="00D51D75">
        <w:rPr>
          <w:rFonts w:ascii="Calibri" w:hAnsi="Calibri"/>
          <w:b/>
        </w:rPr>
        <w:t>uzavřenou</w:t>
      </w:r>
      <w:proofErr w:type="gramEnd"/>
      <w:r w:rsidRPr="00D51D75">
        <w:rPr>
          <w:rFonts w:ascii="Calibri" w:hAnsi="Calibri"/>
          <w:b/>
        </w:rPr>
        <w:t xml:space="preserve"> adhezním způsobem</w:t>
      </w:r>
      <w:r w:rsidRPr="00D51D75">
        <w:rPr>
          <w:rFonts w:ascii="Calibri" w:hAnsi="Calibri"/>
        </w:rPr>
        <w:t xml:space="preserve">, jejíž smluvní stranou je právnická osoba uvedená v § 2 odst. 1 písm. e), k), l) nebo n), s výjimkou </w:t>
      </w:r>
      <w:bookmarkStart w:id="1" w:name="highlightHit_29"/>
      <w:bookmarkEnd w:id="1"/>
      <w:r w:rsidRPr="00D51D75">
        <w:rPr>
          <w:rFonts w:ascii="Calibri" w:hAnsi="Calibri"/>
        </w:rPr>
        <w:t xml:space="preserve">smluv uzavřených na základě zadávacího řízení podle </w:t>
      </w:r>
      <w:bookmarkStart w:id="2" w:name="highlightHit_30"/>
      <w:bookmarkEnd w:id="2"/>
      <w:r w:rsidRPr="00D51D75">
        <w:rPr>
          <w:rFonts w:ascii="Calibri" w:hAnsi="Calibri"/>
        </w:rPr>
        <w:t>zákona o veřejných zakázkách,</w:t>
      </w:r>
    </w:p>
    <w:p w:rsidR="008A0381" w:rsidRPr="003F07F3" w:rsidRDefault="008A0381" w:rsidP="003F07F3">
      <w:pPr>
        <w:spacing w:after="0" w:line="240" w:lineRule="auto"/>
        <w:rPr>
          <w:rFonts w:ascii="Calibri" w:hAnsi="Calibri"/>
        </w:rPr>
      </w:pPr>
    </w:p>
    <w:p w:rsidR="00E250FD" w:rsidRPr="00E250FD" w:rsidRDefault="00E250FD" w:rsidP="00E250FD">
      <w:pPr>
        <w:spacing w:after="0" w:line="240" w:lineRule="auto"/>
        <w:jc w:val="center"/>
        <w:rPr>
          <w:rFonts w:ascii="Calibri" w:hAnsi="Calibri"/>
          <w:b/>
        </w:rPr>
      </w:pPr>
      <w:r w:rsidRPr="00E250FD">
        <w:rPr>
          <w:rFonts w:ascii="Calibri" w:hAnsi="Calibri"/>
          <w:b/>
        </w:rPr>
        <w:t>Smlouvy uzavírané adhezním způsobem</w:t>
      </w:r>
      <w:r w:rsidR="003F07F3">
        <w:rPr>
          <w:rFonts w:ascii="Calibri" w:hAnsi="Calibri"/>
          <w:b/>
        </w:rPr>
        <w:t xml:space="preserve"> dle NOZ</w:t>
      </w:r>
    </w:p>
    <w:p w:rsidR="00E250FD" w:rsidRPr="000A7753" w:rsidRDefault="008A0381" w:rsidP="00E250FD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1798</w:t>
      </w:r>
      <w:r w:rsidR="00E250FD" w:rsidRPr="000A7753">
        <w:rPr>
          <w:rFonts w:ascii="Calibri" w:hAnsi="Calibri"/>
        </w:rPr>
        <w:t xml:space="preserve"> [Jednostranné určení základních podmínek]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E250FD" w:rsidRPr="00E250FD" w:rsidRDefault="00E250FD" w:rsidP="003F07F3">
      <w:pPr>
        <w:spacing w:after="0" w:line="240" w:lineRule="auto"/>
        <w:jc w:val="both"/>
        <w:rPr>
          <w:rFonts w:ascii="Calibri" w:hAnsi="Calibri"/>
          <w:b/>
        </w:rPr>
      </w:pPr>
      <w:r w:rsidRPr="00E250FD">
        <w:rPr>
          <w:rFonts w:ascii="Calibri" w:hAnsi="Calibri"/>
        </w:rPr>
        <w:t xml:space="preserve">Ustanovení o smlouvách uzavíraných adhezním způsobem platí pro každou smlouvu, jejíž </w:t>
      </w:r>
      <w:r w:rsidRPr="003F07F3">
        <w:rPr>
          <w:rFonts w:ascii="Calibri" w:hAnsi="Calibri"/>
          <w:b/>
          <w:u w:val="single"/>
        </w:rPr>
        <w:t>základní</w:t>
      </w:r>
      <w:r w:rsidRPr="003F07F3">
        <w:rPr>
          <w:rFonts w:ascii="Calibri" w:hAnsi="Calibri"/>
          <w:u w:val="single"/>
        </w:rPr>
        <w:t xml:space="preserve"> </w:t>
      </w:r>
      <w:r w:rsidRPr="00E250FD">
        <w:rPr>
          <w:rFonts w:ascii="Calibri" w:hAnsi="Calibri"/>
          <w:b/>
        </w:rPr>
        <w:t>podmínky byly určeny jednou ze smluvních stran</w:t>
      </w:r>
      <w:r w:rsidRPr="00E250FD">
        <w:rPr>
          <w:rFonts w:ascii="Calibri" w:hAnsi="Calibri"/>
        </w:rPr>
        <w:t xml:space="preserve"> nebo podle jejích pokynů, </w:t>
      </w:r>
      <w:r w:rsidRPr="00E250FD">
        <w:rPr>
          <w:rFonts w:ascii="Calibri" w:hAnsi="Calibri"/>
          <w:b/>
        </w:rPr>
        <w:t xml:space="preserve">aniž slabší strana měla skutečnou příležitost obsah těchto </w:t>
      </w:r>
      <w:r w:rsidRPr="003F07F3">
        <w:rPr>
          <w:rFonts w:ascii="Calibri" w:hAnsi="Calibri"/>
          <w:b/>
          <w:u w:val="single"/>
        </w:rPr>
        <w:t>základních</w:t>
      </w:r>
      <w:r w:rsidRPr="00E250FD">
        <w:rPr>
          <w:rFonts w:ascii="Calibri" w:hAnsi="Calibri"/>
          <w:b/>
        </w:rPr>
        <w:t xml:space="preserve"> podmínek ovlivnit.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 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Použije-li se k uzavření smlouvy se </w:t>
      </w:r>
      <w:r w:rsidRPr="00E250FD">
        <w:rPr>
          <w:rFonts w:ascii="Calibri" w:hAnsi="Calibri"/>
          <w:b/>
        </w:rPr>
        <w:t>slabší stranou</w:t>
      </w:r>
      <w:r w:rsidRPr="00E250FD">
        <w:rPr>
          <w:rFonts w:ascii="Calibri" w:hAnsi="Calibri"/>
        </w:rPr>
        <w:t xml:space="preserve"> </w:t>
      </w:r>
      <w:r w:rsidRPr="00E250FD">
        <w:rPr>
          <w:rFonts w:ascii="Calibri" w:hAnsi="Calibri"/>
          <w:b/>
        </w:rPr>
        <w:t>smluvní formulář</w:t>
      </w:r>
      <w:r w:rsidRPr="00E250FD">
        <w:rPr>
          <w:rFonts w:ascii="Calibri" w:hAnsi="Calibri"/>
        </w:rPr>
        <w:t xml:space="preserve"> užívaný v obchodním styku nebo </w:t>
      </w:r>
      <w:r w:rsidRPr="00E250FD">
        <w:rPr>
          <w:rFonts w:ascii="Calibri" w:hAnsi="Calibri"/>
          <w:b/>
        </w:rPr>
        <w:t>jiný podobný prostředek</w:t>
      </w:r>
      <w:r w:rsidRPr="00E250FD">
        <w:rPr>
          <w:rFonts w:ascii="Calibri" w:hAnsi="Calibri"/>
        </w:rPr>
        <w:t>, má se za to, že smlouva byla uzavřena adhezním způsobem.</w:t>
      </w:r>
    </w:p>
    <w:p w:rsidR="00431BBD" w:rsidRPr="00A9129F" w:rsidRDefault="00431BBD" w:rsidP="00A9129F">
      <w:pPr>
        <w:spacing w:after="0" w:line="240" w:lineRule="auto"/>
        <w:jc w:val="both"/>
        <w:rPr>
          <w:rFonts w:ascii="Calibri" w:hAnsi="Calibri"/>
        </w:rPr>
      </w:pPr>
    </w:p>
    <w:p w:rsidR="00431BBD" w:rsidRPr="008156C1" w:rsidRDefault="004F2323" w:rsidP="004F2323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8156C1">
        <w:rPr>
          <w:rFonts w:ascii="Calibri" w:hAnsi="Calibri"/>
          <w:b/>
        </w:rPr>
        <w:t xml:space="preserve">§ 433 </w:t>
      </w:r>
      <w:r w:rsidR="00431BBD" w:rsidRPr="008156C1">
        <w:rPr>
          <w:rFonts w:ascii="Calibri" w:hAnsi="Calibri"/>
          <w:b/>
        </w:rPr>
        <w:t>[Zákaz využívání závislosti]</w:t>
      </w:r>
      <w:r w:rsidR="003F07F3">
        <w:rPr>
          <w:rFonts w:ascii="Calibri" w:hAnsi="Calibri"/>
          <w:b/>
        </w:rPr>
        <w:t xml:space="preserve"> NOZ</w:t>
      </w:r>
    </w:p>
    <w:p w:rsidR="00431BBD" w:rsidRPr="00A9129F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  <w:r w:rsidRPr="00431BBD">
        <w:rPr>
          <w:rFonts w:ascii="Calibri" w:hAnsi="Calibri"/>
        </w:rPr>
        <w:t>Kdo jako podnikatel vystupuje vůči dalším osobám v hospodářském styku, nesmí svou kvalitu odborníka ani své hospodářské postavení zneužít k vytváření nebo k využití závislosti slabší strany a k dosažení zřejmé a nedůvodné nerovnováhy ve vzájemných právech a povinnostech stran.</w:t>
      </w:r>
    </w:p>
    <w:p w:rsidR="00431BBD" w:rsidRPr="00431BBD" w:rsidRDefault="00431BBD" w:rsidP="00431BBD">
      <w:pPr>
        <w:pStyle w:val="Odstavecseseznamem"/>
        <w:spacing w:after="0" w:line="240" w:lineRule="auto"/>
        <w:jc w:val="both"/>
        <w:rPr>
          <w:rFonts w:ascii="Calibri" w:hAnsi="Calibri"/>
        </w:rPr>
      </w:pPr>
      <w:r w:rsidRPr="00431BBD">
        <w:rPr>
          <w:rFonts w:ascii="Calibri" w:hAnsi="Calibri"/>
        </w:rPr>
        <w:t xml:space="preserve"> </w:t>
      </w:r>
    </w:p>
    <w:p w:rsidR="00431BBD" w:rsidRPr="00A9129F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431BBD">
        <w:rPr>
          <w:rFonts w:ascii="Calibri" w:hAnsi="Calibri"/>
        </w:rPr>
        <w:t xml:space="preserve">Má se za to, že </w:t>
      </w:r>
      <w:r w:rsidRPr="00431BBD">
        <w:rPr>
          <w:rFonts w:ascii="Calibri" w:hAnsi="Calibri"/>
          <w:b/>
        </w:rPr>
        <w:t>slabší stranou je vždy osoba</w:t>
      </w:r>
      <w:r w:rsidRPr="00431BBD">
        <w:rPr>
          <w:rFonts w:ascii="Calibri" w:hAnsi="Calibri"/>
        </w:rPr>
        <w:t xml:space="preserve">, která vůči podnikateli v hospodářském styku vystupuje </w:t>
      </w:r>
      <w:r w:rsidRPr="00431BBD">
        <w:rPr>
          <w:rFonts w:ascii="Calibri" w:hAnsi="Calibri"/>
          <w:b/>
        </w:rPr>
        <w:t>mimo souvislost s vlastním podnikáním.</w:t>
      </w:r>
    </w:p>
    <w:p w:rsidR="00DE1711" w:rsidRDefault="00DE1711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</w:p>
    <w:p w:rsidR="00A9129F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  <w:r w:rsidRPr="00490A79">
        <w:rPr>
          <w:rFonts w:ascii="Calibri" w:hAnsi="Calibri"/>
          <w:b/>
          <w:u w:val="single"/>
        </w:rPr>
        <w:t>Výklad:</w:t>
      </w:r>
    </w:p>
    <w:p w:rsidR="00A9129F" w:rsidRDefault="00A9129F" w:rsidP="00A9129F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>?</w:t>
      </w:r>
      <w:r>
        <w:rPr>
          <w:rFonts w:ascii="Calibri" w:hAnsi="Calibri"/>
        </w:rPr>
        <w:t xml:space="preserve"> </w:t>
      </w:r>
      <w:r w:rsidRPr="00DE1711">
        <w:rPr>
          <w:rFonts w:ascii="Calibri" w:hAnsi="Calibri"/>
          <w:b/>
        </w:rPr>
        <w:t>Neměl skutečnou</w:t>
      </w:r>
      <w:r>
        <w:rPr>
          <w:rFonts w:ascii="Calibri" w:hAnsi="Calibri"/>
          <w:b/>
        </w:rPr>
        <w:t xml:space="preserve"> příležitost ovlivnit obsah základních podmínek:</w:t>
      </w:r>
    </w:p>
    <w:p w:rsidR="00A9129F" w:rsidRPr="00431BBD" w:rsidRDefault="00A9129F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431BBD">
        <w:rPr>
          <w:rFonts w:ascii="Calibri" w:hAnsi="Calibri"/>
        </w:rPr>
        <w:t>Ustanovení o ad</w:t>
      </w:r>
      <w:r>
        <w:rPr>
          <w:rFonts w:ascii="Calibri" w:hAnsi="Calibri"/>
        </w:rPr>
        <w:t>hez</w:t>
      </w:r>
      <w:r w:rsidRPr="00431BBD">
        <w:rPr>
          <w:rFonts w:ascii="Calibri" w:hAnsi="Calibri"/>
        </w:rPr>
        <w:t xml:space="preserve">. sml. se použijí se jen na takovou smlouvu, kde adherent </w:t>
      </w:r>
      <w:r w:rsidRPr="00431BBD">
        <w:rPr>
          <w:rFonts w:ascii="Calibri" w:hAnsi="Calibri"/>
          <w:b/>
        </w:rPr>
        <w:t>nejenže neměl skutečnou příležitost ovlivnit obsah smluvních podmínek</w:t>
      </w:r>
      <w:r w:rsidRPr="00431BBD">
        <w:rPr>
          <w:rFonts w:ascii="Calibri" w:hAnsi="Calibri"/>
        </w:rPr>
        <w:t xml:space="preserve">, ale zároveň </w:t>
      </w:r>
      <w:r w:rsidRPr="00431BBD">
        <w:rPr>
          <w:rFonts w:ascii="Calibri" w:hAnsi="Calibri"/>
          <w:b/>
        </w:rPr>
        <w:t>byl slabší stranou</w:t>
      </w:r>
      <w:r>
        <w:rPr>
          <w:rFonts w:ascii="Calibri" w:hAnsi="Calibri"/>
        </w:rPr>
        <w:t xml:space="preserve">. </w:t>
      </w:r>
      <w:r w:rsidRPr="00431BBD">
        <w:rPr>
          <w:rFonts w:ascii="Calibri" w:hAnsi="Calibri"/>
        </w:rPr>
        <w:t xml:space="preserve">Když nám </w:t>
      </w:r>
      <w:r>
        <w:rPr>
          <w:rFonts w:ascii="Calibri" w:hAnsi="Calibri"/>
        </w:rPr>
        <w:t xml:space="preserve">tedy </w:t>
      </w:r>
      <w:r w:rsidRPr="00431BBD">
        <w:rPr>
          <w:rFonts w:ascii="Calibri" w:hAnsi="Calibri"/>
        </w:rPr>
        <w:t xml:space="preserve">protistrana zašle k připomínkám smlouvu, tak argumentace o nemožnosti ovlivnit podobu smlouvy </w:t>
      </w:r>
      <w:r w:rsidRPr="003F07F3">
        <w:rPr>
          <w:rFonts w:ascii="Calibri" w:hAnsi="Calibri"/>
          <w:b/>
        </w:rPr>
        <w:t>by nemusel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obstát</w:t>
      </w:r>
      <w:r w:rsidRPr="00431BBD">
        <w:rPr>
          <w:rFonts w:ascii="Calibri" w:hAnsi="Calibri"/>
          <w:b/>
        </w:rPr>
        <w:t>;</w:t>
      </w:r>
    </w:p>
    <w:p w:rsidR="00490A79" w:rsidRPr="00490A79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</w:p>
    <w:p w:rsidR="00C91ABC" w:rsidRPr="000A7753" w:rsidRDefault="00C91ABC" w:rsidP="000A775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 xml:space="preserve">? </w:t>
      </w:r>
      <w:r w:rsidR="000A7753" w:rsidRPr="000A7753">
        <w:rPr>
          <w:rFonts w:ascii="Calibri" w:hAnsi="Calibri"/>
          <w:b/>
        </w:rPr>
        <w:t>S</w:t>
      </w:r>
      <w:r w:rsidRPr="000A7753">
        <w:rPr>
          <w:rFonts w:ascii="Calibri" w:hAnsi="Calibri"/>
          <w:b/>
        </w:rPr>
        <w:t>labší strana:</w:t>
      </w:r>
    </w:p>
    <w:p w:rsidR="00C91ABC" w:rsidRDefault="00C91ABC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městská firma ve smys</w:t>
      </w:r>
      <w:r w:rsidR="008A0381">
        <w:rPr>
          <w:rFonts w:ascii="Calibri" w:hAnsi="Calibri"/>
        </w:rPr>
        <w:t xml:space="preserve">lu profesionálního obchodníka – </w:t>
      </w:r>
      <w:r w:rsidR="00490A79">
        <w:rPr>
          <w:rFonts w:ascii="Calibri" w:hAnsi="Calibri"/>
        </w:rPr>
        <w:t>záleží na předmětu podnikání</w:t>
      </w:r>
      <w:r w:rsidR="003F07F3">
        <w:rPr>
          <w:rFonts w:ascii="Calibri" w:hAnsi="Calibri"/>
        </w:rPr>
        <w:t xml:space="preserve"> obou společností</w:t>
      </w:r>
      <w:r w:rsidR="008A0381">
        <w:rPr>
          <w:rFonts w:ascii="Calibri" w:hAnsi="Calibri"/>
        </w:rPr>
        <w:t>, i PO může být slabší stranou</w:t>
      </w:r>
    </w:p>
    <w:p w:rsidR="000D608D" w:rsidRPr="000A7753" w:rsidRDefault="000D608D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D608D">
        <w:rPr>
          <w:rFonts w:ascii="Calibri" w:hAnsi="Calibri"/>
        </w:rPr>
        <w:t>V závazku dvou podnikatelů však mohou být pravidla chránící slabšího vyloučena. Kromě jednoho případu – když slabší strana prokáže, že doložka uvedená mimo vlastní text smlouvy a navržená druhou smluvní stranou hrubě odporuje obchodním zvyklostem a zásadě poctivého obchodního styku.</w:t>
      </w:r>
    </w:p>
    <w:p w:rsidR="00431BBD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</w:p>
    <w:p w:rsidR="00431BBD" w:rsidRPr="000A7753" w:rsidRDefault="00A9129F" w:rsidP="00431BBD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? </w:t>
      </w:r>
      <w:r w:rsidR="00431BBD" w:rsidRPr="000A7753">
        <w:rPr>
          <w:rFonts w:ascii="Calibri" w:hAnsi="Calibri"/>
          <w:b/>
        </w:rPr>
        <w:t>Praktický argument:</w:t>
      </w:r>
    </w:p>
    <w:p w:rsidR="00431BBD" w:rsidRDefault="00431BBD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Když smlouvu nezveřejním, může se ně</w:t>
      </w:r>
      <w:r w:rsidR="003F07F3">
        <w:rPr>
          <w:rFonts w:ascii="Calibri" w:hAnsi="Calibri"/>
        </w:rPr>
        <w:t>kdo dozvědět o její existenci „</w:t>
      </w:r>
      <w:proofErr w:type="gramStart"/>
      <w:r w:rsidR="003F07F3">
        <w:rPr>
          <w:rFonts w:ascii="Calibri" w:hAnsi="Calibri"/>
        </w:rPr>
        <w:t>z</w:t>
      </w:r>
      <w:r w:rsidRPr="000A7753">
        <w:rPr>
          <w:rFonts w:ascii="Calibri" w:hAnsi="Calibri"/>
        </w:rPr>
        <w:t>venčí</w:t>
      </w:r>
      <w:r w:rsidR="003F07F3">
        <w:rPr>
          <w:rFonts w:ascii="Calibri" w:hAnsi="Calibri"/>
        </w:rPr>
        <w:t>“</w:t>
      </w:r>
      <w:r w:rsidR="00A9129F">
        <w:rPr>
          <w:rFonts w:ascii="Calibri" w:hAnsi="Calibri"/>
        </w:rPr>
        <w:t xml:space="preserve"> </w:t>
      </w:r>
      <w:r w:rsidRPr="000A7753">
        <w:rPr>
          <w:rFonts w:ascii="Calibri" w:hAnsi="Calibri"/>
        </w:rPr>
        <w:t>?</w:t>
      </w:r>
      <w:proofErr w:type="gramEnd"/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Pr="00A22494" w:rsidRDefault="00A22494" w:rsidP="00A9129F">
      <w:pPr>
        <w:spacing w:after="0" w:line="240" w:lineRule="auto"/>
        <w:jc w:val="both"/>
        <w:rPr>
          <w:rFonts w:ascii="Calibri" w:hAnsi="Calibri"/>
        </w:rPr>
      </w:pPr>
      <w:r w:rsidRPr="00A22494">
        <w:rPr>
          <w:rFonts w:ascii="Calibri" w:hAnsi="Calibri"/>
        </w:rPr>
        <w:t xml:space="preserve">V § 1798 ObčZ a násl. je zakotvena ochran slabší smluvní strany v případě smluv uzavíraných adhezním způsobem. Smlouva je uzavřena adhezním způsobem, jestliže </w:t>
      </w:r>
      <w:r w:rsidRPr="00A9129F">
        <w:rPr>
          <w:rFonts w:ascii="Calibri" w:hAnsi="Calibri"/>
          <w:b/>
        </w:rPr>
        <w:t>její základní podmínky určí jedna ze smluvních stran</w:t>
      </w:r>
      <w:r w:rsidRPr="00A22494">
        <w:rPr>
          <w:rFonts w:ascii="Calibri" w:hAnsi="Calibri"/>
        </w:rPr>
        <w:t>, aniž slabší strana (viz také § 433 odst. 2 ObčZ) měla skutečnou příležitost je ovlivnit („take it or leave it“</w:t>
      </w:r>
      <w:r w:rsidR="000D608D">
        <w:rPr>
          <w:rFonts w:ascii="Calibri" w:hAnsi="Calibri"/>
        </w:rPr>
        <w:t>, nedochází k vyjednávání mezi kontrahendy</w:t>
      </w:r>
      <w:r w:rsidRPr="00A22494">
        <w:rPr>
          <w:rFonts w:ascii="Calibri" w:hAnsi="Calibri"/>
        </w:rPr>
        <w:t xml:space="preserve">). Základní podmínky nejsou totožné s podstatnými náležitostmi smlouvy dle § 1746 odst. 1 ObčZ, dle nichž se smlouva podřazuje </w:t>
      </w:r>
      <w:r w:rsidRPr="00A22494">
        <w:rPr>
          <w:rFonts w:ascii="Calibri" w:hAnsi="Calibri"/>
        </w:rPr>
        <w:lastRenderedPageBreak/>
        <w:t>smluvnímu typu. V § 1798 odst. 2 je stanovena vyvratitelná právní domněnka smlouvy uzavřené adhezním způsobem, předložila-li silnější strana smluvní formulář používaný v obchodním styku nebo jiný podobný prostředek.</w:t>
      </w:r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9129F" w:rsidRDefault="00A9129F" w:rsidP="00A22494">
      <w:pPr>
        <w:spacing w:after="0" w:line="240" w:lineRule="auto"/>
        <w:rPr>
          <w:rFonts w:ascii="Calibri" w:hAnsi="Calibri"/>
        </w:rPr>
      </w:pPr>
    </w:p>
    <w:p w:rsidR="00A9129F" w:rsidRPr="00A22494" w:rsidRDefault="00A9129F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C07D3" w:rsidRPr="00AC07D3" w:rsidRDefault="00490A79" w:rsidP="00AC07D3">
      <w:pPr>
        <w:spacing w:after="0" w:line="240" w:lineRule="auto"/>
        <w:rPr>
          <w:rFonts w:ascii="Calibri" w:hAnsi="Calibri"/>
          <w:b/>
        </w:rPr>
      </w:pPr>
      <w:r w:rsidRPr="00AC07D3">
        <w:rPr>
          <w:rFonts w:ascii="Calibri" w:hAnsi="Calibri"/>
          <w:b/>
        </w:rPr>
        <w:t>Důvod vyjmutí z registru smluv z pohledu zákonodárce:</w:t>
      </w:r>
    </w:p>
    <w:p w:rsidR="000618E6" w:rsidRDefault="00AC07D3" w:rsidP="00490A7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="00A22494" w:rsidRPr="00A22494">
        <w:rPr>
          <w:rFonts w:ascii="Calibri" w:hAnsi="Calibri"/>
        </w:rPr>
        <w:t xml:space="preserve">Lze uzavřít, že v případě této výjimky upřednostnil zákonodárce </w:t>
      </w:r>
      <w:r w:rsidR="00A22494" w:rsidRPr="00AC07D3">
        <w:rPr>
          <w:rFonts w:ascii="Calibri" w:hAnsi="Calibri"/>
          <w:b/>
        </w:rPr>
        <w:t>ochranu slabší smluvní strany</w:t>
      </w:r>
      <w:r w:rsidR="00A22494" w:rsidRPr="00A22494">
        <w:rPr>
          <w:rFonts w:ascii="Calibri" w:hAnsi="Calibri"/>
        </w:rPr>
        <w:t xml:space="preserve"> uzavírající adhezním způsobem smlouvu na plnění </w:t>
      </w:r>
      <w:r w:rsidR="00A22494" w:rsidRPr="00AC07D3">
        <w:rPr>
          <w:rFonts w:ascii="Calibri" w:hAnsi="Calibri"/>
          <w:b/>
        </w:rPr>
        <w:t>s relativně nízkou hodnotou</w:t>
      </w:r>
      <w:r w:rsidR="00A22494" w:rsidRPr="00A22494">
        <w:rPr>
          <w:rFonts w:ascii="Calibri" w:hAnsi="Calibri"/>
        </w:rPr>
        <w:t xml:space="preserve"> před uveřejněním informací o takové smlouvě. Skutečnost, že smlouva nepodléhá povinnému uveřejnění v registru smluv, však nezakládá výluku z práva na informace dle </w:t>
      </w:r>
      <w:r>
        <w:rPr>
          <w:rFonts w:ascii="Calibri" w:hAnsi="Calibri"/>
        </w:rPr>
        <w:t>zákona na svobodu informací.“</w:t>
      </w:r>
    </w:p>
    <w:p w:rsidR="00490A79" w:rsidRDefault="00490A79" w:rsidP="00A22494">
      <w:pPr>
        <w:spacing w:after="0" w:line="240" w:lineRule="auto"/>
        <w:rPr>
          <w:rFonts w:ascii="Calibri" w:hAnsi="Calibri"/>
        </w:rPr>
      </w:pPr>
    </w:p>
    <w:p w:rsidR="00AC07D3" w:rsidRDefault="00490A79" w:rsidP="00AC07D3">
      <w:pPr>
        <w:spacing w:after="0" w:line="240" w:lineRule="auto"/>
        <w:jc w:val="both"/>
        <w:rPr>
          <w:rFonts w:ascii="Calibri" w:hAnsi="Calibri"/>
        </w:rPr>
      </w:pPr>
      <w:r w:rsidRPr="00490A79">
        <w:rPr>
          <w:rFonts w:ascii="Calibri" w:hAnsi="Calibri"/>
          <w:b/>
        </w:rPr>
        <w:t>Doporučené řešení</w:t>
      </w:r>
      <w:r w:rsidR="00AC07D3">
        <w:rPr>
          <w:rFonts w:ascii="Calibri" w:hAnsi="Calibri"/>
          <w:b/>
        </w:rPr>
        <w:t xml:space="preserve"> pro PP a dcery</w:t>
      </w:r>
      <w:r w:rsidRPr="00490A79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 </w:t>
      </w:r>
    </w:p>
    <w:p w:rsidR="00490A79" w:rsidRPr="000A7753" w:rsidRDefault="00490A79" w:rsidP="00AC07D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Smlouvu </w:t>
      </w:r>
      <w:r w:rsidR="00AC07D3">
        <w:rPr>
          <w:rFonts w:ascii="Calibri" w:hAnsi="Calibri"/>
        </w:rPr>
        <w:t>např. na koupi osobního automobilu, byť by mohla splňovat znaky adhezní smlouvy</w:t>
      </w:r>
      <w:r w:rsidR="00A9129F">
        <w:rPr>
          <w:rFonts w:ascii="Calibri" w:hAnsi="Calibri"/>
        </w:rPr>
        <w:t>, raději</w:t>
      </w:r>
      <w:r w:rsidR="00AC07D3">
        <w:rPr>
          <w:rFonts w:ascii="Calibri" w:hAnsi="Calibri"/>
        </w:rPr>
        <w:t xml:space="preserve"> </w:t>
      </w:r>
      <w:r>
        <w:rPr>
          <w:rFonts w:ascii="Calibri" w:hAnsi="Calibri"/>
        </w:rPr>
        <w:t>zveřejnit a začernit cenu a pří</w:t>
      </w:r>
      <w:r w:rsidR="00AC07D3">
        <w:rPr>
          <w:rFonts w:ascii="Calibri" w:hAnsi="Calibri"/>
        </w:rPr>
        <w:t>padně název osobního automobilu apod. s případným argumentem, že si tak přejí obě strany, výše slevy na auto z ceníkové ceny je osobním tajemstvím apod.</w:t>
      </w:r>
    </w:p>
    <w:sectPr w:rsidR="00490A79" w:rsidRPr="000A7753" w:rsidSect="00A9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8C" w:rsidRDefault="00897F8C" w:rsidP="00077FCA">
      <w:pPr>
        <w:spacing w:after="0" w:line="240" w:lineRule="auto"/>
      </w:pPr>
      <w:r>
        <w:separator/>
      </w:r>
    </w:p>
  </w:endnote>
  <w:endnote w:type="continuationSeparator" w:id="0">
    <w:p w:rsidR="00897F8C" w:rsidRDefault="00897F8C" w:rsidP="0007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A" w:rsidRDefault="00077F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A" w:rsidRDefault="00077F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A" w:rsidRDefault="00077F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8C" w:rsidRDefault="00897F8C" w:rsidP="00077FCA">
      <w:pPr>
        <w:spacing w:after="0" w:line="240" w:lineRule="auto"/>
      </w:pPr>
      <w:r>
        <w:separator/>
      </w:r>
    </w:p>
  </w:footnote>
  <w:footnote w:type="continuationSeparator" w:id="0">
    <w:p w:rsidR="00897F8C" w:rsidRDefault="00897F8C" w:rsidP="0007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A" w:rsidRDefault="00077F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A" w:rsidRDefault="00077F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CA" w:rsidRDefault="00077F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AAC"/>
    <w:multiLevelType w:val="hybridMultilevel"/>
    <w:tmpl w:val="2B4691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73289F"/>
    <w:multiLevelType w:val="hybridMultilevel"/>
    <w:tmpl w:val="DB701AA2"/>
    <w:lvl w:ilvl="0" w:tplc="04050001">
      <w:start w:val="1"/>
      <w:numFmt w:val="bullet"/>
      <w:lvlText w:val=""/>
      <w:lvlJc w:val="left"/>
      <w:pPr>
        <w:ind w:left="4377" w:hanging="123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2">
    <w:nsid w:val="1D9E72DD"/>
    <w:multiLevelType w:val="hybridMultilevel"/>
    <w:tmpl w:val="B328AF5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2747DA9"/>
    <w:multiLevelType w:val="hybridMultilevel"/>
    <w:tmpl w:val="9ED4B5B6"/>
    <w:lvl w:ilvl="0" w:tplc="58B23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87481"/>
    <w:multiLevelType w:val="hybridMultilevel"/>
    <w:tmpl w:val="28665DDA"/>
    <w:lvl w:ilvl="0" w:tplc="AFDAD6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7DF6072"/>
    <w:multiLevelType w:val="hybridMultilevel"/>
    <w:tmpl w:val="DC5C69CC"/>
    <w:lvl w:ilvl="0" w:tplc="C624E94E">
      <w:numFmt w:val="bullet"/>
      <w:lvlText w:val="-"/>
      <w:lvlJc w:val="left"/>
      <w:pPr>
        <w:ind w:left="1275" w:hanging="123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6"/>
    <w:rsid w:val="000618E6"/>
    <w:rsid w:val="00077FCA"/>
    <w:rsid w:val="000A7753"/>
    <w:rsid w:val="000D608D"/>
    <w:rsid w:val="00366B19"/>
    <w:rsid w:val="003F07F3"/>
    <w:rsid w:val="00431BBD"/>
    <w:rsid w:val="00490A79"/>
    <w:rsid w:val="004F2323"/>
    <w:rsid w:val="00523F02"/>
    <w:rsid w:val="00630CCC"/>
    <w:rsid w:val="00650D2B"/>
    <w:rsid w:val="00682514"/>
    <w:rsid w:val="007B12A2"/>
    <w:rsid w:val="008156C1"/>
    <w:rsid w:val="00897F8C"/>
    <w:rsid w:val="008A0381"/>
    <w:rsid w:val="00A22494"/>
    <w:rsid w:val="00A9129F"/>
    <w:rsid w:val="00AC07D3"/>
    <w:rsid w:val="00C07067"/>
    <w:rsid w:val="00C91ABC"/>
    <w:rsid w:val="00D51D75"/>
    <w:rsid w:val="00DE1711"/>
    <w:rsid w:val="00E250FD"/>
    <w:rsid w:val="00E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FCA"/>
  </w:style>
  <w:style w:type="paragraph" w:styleId="Zpat">
    <w:name w:val="footer"/>
    <w:basedOn w:val="Normln"/>
    <w:link w:val="ZpatChar"/>
    <w:uiPriority w:val="99"/>
    <w:unhideWhenUsed/>
    <w:rsid w:val="000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FCA"/>
  </w:style>
  <w:style w:type="paragraph" w:styleId="Zpat">
    <w:name w:val="footer"/>
    <w:basedOn w:val="Normln"/>
    <w:link w:val="ZpatChar"/>
    <w:uiPriority w:val="99"/>
    <w:unhideWhenUsed/>
    <w:rsid w:val="000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9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8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0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78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17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16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9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3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5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7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21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2017-06-16T08:28:00Z</dcterms:created>
  <dcterms:modified xsi:type="dcterms:W3CDTF">2017-06-16T08:28:00Z</dcterms:modified>
</cp:coreProperties>
</file>