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2D34C4">
        <w:rPr>
          <w:rFonts w:ascii="Calibri" w:eastAsia="Times New Roman" w:hAnsi="Calibri" w:cs="Times New Roman"/>
          <w:b/>
          <w:sz w:val="32"/>
          <w:szCs w:val="32"/>
          <w:lang w:eastAsia="cs-CZ"/>
        </w:rPr>
        <w:t>Smlouva o zřízení věcného břemene</w:t>
      </w:r>
    </w:p>
    <w:p w:rsidR="00B15AAB" w:rsidRDefault="00B15AAB" w:rsidP="00B15AAB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B15AAB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uzavřená podle ustanovení § 59 odst. 2 zákona č. 458/2000Sb., energetický zákon, v platném znění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 § 1257 a následujících ustanovení zákona č. 89/2012 Sb., Občanský zákoník, v platném znění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Číslo smlouvy: 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DA2F40">
        <w:rPr>
          <w:rFonts w:ascii="Calibri" w:eastAsia="Times New Roman" w:hAnsi="Calibri" w:cs="Times New Roman"/>
          <w:lang w:eastAsia="cs-CZ"/>
        </w:rPr>
        <w:t>112/2017/OP</w:t>
      </w: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Smluvní strany</w:t>
      </w:r>
    </w:p>
    <w:p w:rsidR="002D34C4" w:rsidRPr="00D11C6A" w:rsidRDefault="00DA2F40" w:rsidP="002D34C4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D11C6A">
        <w:rPr>
          <w:rFonts w:ascii="Calibri" w:eastAsia="Times New Roman" w:hAnsi="Calibri" w:cs="Times New Roman"/>
          <w:b/>
          <w:lang w:eastAsia="cs-CZ"/>
        </w:rPr>
        <w:t>GREENMAIL s.r.o.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se sídlem: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DA2F40">
        <w:t>Praha 1, Nové Město, Olivova 2096/4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zapsaný v obchodním rejstříku, vedeném </w:t>
      </w:r>
      <w:r w:rsidR="00DA2F40">
        <w:rPr>
          <w:rFonts w:ascii="Calibri" w:eastAsia="Times New Roman" w:hAnsi="Calibri" w:cs="Times New Roman"/>
          <w:lang w:eastAsia="cs-CZ"/>
        </w:rPr>
        <w:t>u Městského soudu v Praze</w:t>
      </w:r>
      <w:r w:rsidRPr="002D34C4">
        <w:rPr>
          <w:rFonts w:ascii="Calibri" w:eastAsia="Times New Roman" w:hAnsi="Calibri" w:cs="Times New Roman"/>
          <w:lang w:eastAsia="cs-CZ"/>
        </w:rPr>
        <w:t xml:space="preserve">, oddíl </w:t>
      </w:r>
      <w:r w:rsidR="00DA2F40">
        <w:rPr>
          <w:rFonts w:ascii="Calibri" w:eastAsia="Times New Roman" w:hAnsi="Calibri" w:cs="Times New Roman"/>
          <w:lang w:eastAsia="cs-CZ"/>
        </w:rPr>
        <w:t>C</w:t>
      </w:r>
      <w:r w:rsidRPr="002D34C4">
        <w:rPr>
          <w:rFonts w:ascii="Calibri" w:eastAsia="Times New Roman" w:hAnsi="Calibri" w:cs="Times New Roman"/>
          <w:lang w:eastAsia="cs-CZ"/>
        </w:rPr>
        <w:t xml:space="preserve">, vložka </w:t>
      </w:r>
      <w:r w:rsidR="00DA2F40">
        <w:rPr>
          <w:rFonts w:ascii="Calibri" w:eastAsia="Times New Roman" w:hAnsi="Calibri" w:cs="Times New Roman"/>
          <w:lang w:eastAsia="cs-CZ"/>
        </w:rPr>
        <w:t>83066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zastoupen: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3F6BA7">
        <w:rPr>
          <w:rFonts w:ascii="Calibri" w:eastAsia="Times New Roman" w:hAnsi="Calibri" w:cs="Times New Roman"/>
          <w:lang w:eastAsia="cs-CZ"/>
        </w:rPr>
        <w:t>ing. David Štekl, jednatel společnosti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IČO: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DA2F40">
        <w:rPr>
          <w:rFonts w:ascii="Calibri" w:eastAsia="Times New Roman" w:hAnsi="Calibri" w:cs="Times New Roman"/>
          <w:lang w:eastAsia="cs-CZ"/>
        </w:rPr>
        <w:t>26450143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DIČ: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CZ</w:t>
      </w:r>
      <w:r w:rsidR="00DA2F40">
        <w:rPr>
          <w:rFonts w:ascii="Calibri" w:eastAsia="Times New Roman" w:hAnsi="Calibri" w:cs="Times New Roman"/>
          <w:lang w:eastAsia="cs-CZ"/>
        </w:rPr>
        <w:t>26450143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plátce DPH</w:t>
      </w:r>
    </w:p>
    <w:p w:rsidR="002D34C4" w:rsidRPr="002B10B8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3F6BA7">
        <w:rPr>
          <w:rFonts w:ascii="Calibri" w:eastAsia="Times New Roman" w:hAnsi="Calibri" w:cs="Times New Roman"/>
          <w:lang w:eastAsia="cs-CZ"/>
        </w:rPr>
        <w:t>UniCredit Bank</w:t>
      </w:r>
      <w:r w:rsidR="003F6BA7" w:rsidRPr="002D34C4">
        <w:rPr>
          <w:rFonts w:ascii="Calibri" w:eastAsia="Times New Roman" w:hAnsi="Calibri" w:cs="Times New Roman"/>
          <w:lang w:eastAsia="cs-CZ"/>
        </w:rPr>
        <w:t xml:space="preserve">, </w:t>
      </w:r>
      <w:r w:rsidRPr="002D34C4">
        <w:rPr>
          <w:rFonts w:ascii="Calibri" w:eastAsia="Times New Roman" w:hAnsi="Calibri" w:cs="Times New Roman"/>
          <w:lang w:eastAsia="cs-CZ"/>
        </w:rPr>
        <w:t>č. ú</w:t>
      </w:r>
      <w:r w:rsidR="002B10B8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 '''''''''''''''''''''''''''''''''</w:t>
      </w:r>
    </w:p>
    <w:p w:rsidR="00B15AAB" w:rsidRDefault="00B15AAB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povinný</w:t>
      </w:r>
    </w:p>
    <w:p w:rsidR="00B15AAB" w:rsidRDefault="00B15AAB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Default="00B15AAB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</w:t>
      </w: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Pražská plynárenská Distribuce, a.s., člen koncernu Pražská plynárenská, a.s.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se sídlem: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U Plynárny 500, 145 08 Praha 4 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zapsaná v obchodním rejstříku vedeném Městským soudem v Praze, oddíl B, vložka 10356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zastoupená: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2B10B8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 '''''''''' ''''''''''''''''''</w:t>
      </w:r>
      <w:r w:rsidRPr="002D34C4">
        <w:rPr>
          <w:rFonts w:ascii="Calibri" w:eastAsia="Times New Roman" w:hAnsi="Calibri" w:cs="Times New Roman"/>
          <w:lang w:eastAsia="cs-CZ"/>
        </w:rPr>
        <w:t xml:space="preserve"> na základě pověření ze dne </w:t>
      </w:r>
      <w:r w:rsidR="00592ED2">
        <w:rPr>
          <w:rFonts w:ascii="Calibri" w:eastAsia="Times New Roman" w:hAnsi="Calibri" w:cs="Times New Roman"/>
          <w:lang w:eastAsia="cs-CZ"/>
        </w:rPr>
        <w:t>3.1.2017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IČO: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27403505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DIČ: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CZ27403505</w:t>
      </w:r>
    </w:p>
    <w:p w:rsidR="002D34C4" w:rsidRPr="002D34C4" w:rsidRDefault="002D34C4" w:rsidP="002D34C4">
      <w:pPr>
        <w:spacing w:after="0" w:line="276" w:lineRule="auto"/>
        <w:ind w:left="1418" w:firstLine="709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plátce DPH </w:t>
      </w:r>
    </w:p>
    <w:p w:rsidR="002D34C4" w:rsidRPr="002B10B8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Česká spořitelna, a.s., č.ú.: </w:t>
      </w:r>
      <w:r w:rsidR="002B10B8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'''''''''''''''''''''''''''</w:t>
      </w: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Úvodní ustanovení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</w:t>
      </w:r>
      <w:r w:rsidRPr="002D34C4">
        <w:rPr>
          <w:rFonts w:ascii="Calibri" w:eastAsia="Times New Roman" w:hAnsi="Calibri" w:cs="Times New Roman"/>
          <w:lang w:eastAsia="cs-CZ"/>
        </w:rPr>
        <w:lastRenderedPageBreak/>
        <w:t>distribuční soustavy na území, vymezeném licencí, přičemž zřízení tohoto věcného břemene je ze strany oprávněného jedním ze zákonem daných předpokladů pro plnění této povinnosti.</w:t>
      </w:r>
    </w:p>
    <w:p w:rsidR="002D34C4" w:rsidRPr="002D34C4" w:rsidRDefault="002D34C4" w:rsidP="00B15AAB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B10B8" w:rsidRDefault="002D34C4" w:rsidP="00B15AAB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373480">
        <w:rPr>
          <w:rFonts w:ascii="Calibri" w:eastAsia="Times New Roman" w:hAnsi="Calibri" w:cs="Times New Roman"/>
          <w:lang w:eastAsia="cs-CZ"/>
        </w:rPr>
        <w:t xml:space="preserve">Povinný z věcného břemene prohlašuje, že je výlučným vlastníkem pozemku parc. č. </w:t>
      </w:r>
      <w:r w:rsidR="002B10B8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 '''''''''''''''''''''''' ''''''''''' '''''''''''''' ''''''''' ''''''''''''' '''''''''''''''''' ''''' ''''' '''' '''''''''' ''' ''''''''''''''''''''''''''' ''''''''''''' ''''''' ''''''''''' ''''''''''' ''''''''''' '''''''''''''''''''''' '''''''''''''''''''' '''''''''''' '''''''''' '''''' ''''''''''''''''''</w:t>
      </w:r>
    </w:p>
    <w:p w:rsidR="002D34C4" w:rsidRPr="00B15AAB" w:rsidRDefault="002D34C4" w:rsidP="00B15AAB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B15AAB">
        <w:rPr>
          <w:rFonts w:ascii="Calibri" w:eastAsia="Times New Roman" w:hAnsi="Calibri" w:cs="Times New Roman"/>
          <w:lang w:eastAsia="cs-CZ"/>
        </w:rPr>
        <w:t xml:space="preserve">Pozemek se nachází na území, vymezeném licencí, v němž oprávněný provozuje distribuční soustavu. Oprávněný má povinnost zřídit věcné břemeno, umožňující mu ve smyslu § 59 odst. 2 energetického zákona zřídit a provozovat na Pozemku zařízení distribuční soustavy (dále jen plynárenské zařízení).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z věcného břemene prohlašuje, že na výše uvedeném Pozemku je umístěna stavba plynárenského zařízení </w:t>
      </w:r>
      <w:r w:rsidR="00373480">
        <w:rPr>
          <w:rFonts w:ascii="Calibri" w:eastAsia="Times New Roman" w:hAnsi="Calibri" w:cs="Times New Roman"/>
          <w:lang w:eastAsia="cs-CZ"/>
        </w:rPr>
        <w:t>– přeložka 2 ks STL plynovodních přípojek PE dn 25</w:t>
      </w:r>
      <w:r w:rsidRPr="002D34C4">
        <w:rPr>
          <w:rFonts w:ascii="Calibri" w:eastAsia="Times New Roman" w:hAnsi="Calibri" w:cs="Times New Roman"/>
          <w:i/>
          <w:lang w:eastAsia="cs-CZ"/>
        </w:rPr>
        <w:t>.</w:t>
      </w: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Předmět smlouvy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</w:t>
      </w:r>
      <w:r w:rsidR="00C65D8A">
        <w:rPr>
          <w:rFonts w:ascii="Calibri" w:eastAsia="Times New Roman" w:hAnsi="Calibri" w:cs="Times New Roman"/>
          <w:lang w:eastAsia="cs-CZ"/>
        </w:rPr>
        <w:t>emeno se zřizuje k tíži Pozemku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v rozsahu, uvedeném v této smlouvě a vyplývajícím z příslušných ustanovení energetického zákona.</w:t>
      </w: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Specifikace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146AEF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za podmínek, ujednaných v této smlouvě, zřizuje </w:t>
      </w:r>
      <w:r w:rsidR="00146AEF">
        <w:rPr>
          <w:rFonts w:ascii="Calibri" w:eastAsia="Times New Roman" w:hAnsi="Calibri" w:cs="Times New Roman"/>
          <w:lang w:eastAsia="cs-CZ"/>
        </w:rPr>
        <w:t xml:space="preserve">  </w:t>
      </w:r>
      <w:r w:rsidRPr="002D34C4">
        <w:rPr>
          <w:rFonts w:ascii="Calibri" w:eastAsia="Times New Roman" w:hAnsi="Calibri" w:cs="Times New Roman"/>
          <w:lang w:eastAsia="cs-CZ"/>
        </w:rPr>
        <w:t xml:space="preserve">dle </w:t>
      </w:r>
      <w:r w:rsidR="00146AEF">
        <w:rPr>
          <w:rFonts w:ascii="Calibri" w:eastAsia="Times New Roman" w:hAnsi="Calibri" w:cs="Times New Roman"/>
          <w:lang w:eastAsia="cs-CZ"/>
        </w:rPr>
        <w:t xml:space="preserve">    </w:t>
      </w:r>
      <w:r w:rsidRPr="002D34C4">
        <w:rPr>
          <w:rFonts w:ascii="Calibri" w:eastAsia="Times New Roman" w:hAnsi="Calibri" w:cs="Times New Roman"/>
          <w:lang w:eastAsia="cs-CZ"/>
        </w:rPr>
        <w:t xml:space="preserve">geometrického </w:t>
      </w:r>
      <w:r w:rsidR="00146AEF">
        <w:rPr>
          <w:rFonts w:ascii="Calibri" w:eastAsia="Times New Roman" w:hAnsi="Calibri" w:cs="Times New Roman"/>
          <w:lang w:eastAsia="cs-CZ"/>
        </w:rPr>
        <w:t xml:space="preserve">    </w:t>
      </w:r>
      <w:r w:rsidRPr="002D34C4">
        <w:rPr>
          <w:rFonts w:ascii="Calibri" w:eastAsia="Times New Roman" w:hAnsi="Calibri" w:cs="Times New Roman"/>
          <w:lang w:eastAsia="cs-CZ"/>
        </w:rPr>
        <w:t>plánu</w:t>
      </w:r>
      <w:r w:rsidR="00373480">
        <w:rPr>
          <w:rFonts w:ascii="Calibri" w:eastAsia="Times New Roman" w:hAnsi="Calibri" w:cs="Times New Roman"/>
          <w:lang w:eastAsia="cs-CZ"/>
        </w:rPr>
        <w:t xml:space="preserve">                    </w:t>
      </w:r>
      <w:r w:rsidRPr="002D34C4">
        <w:rPr>
          <w:rFonts w:ascii="Calibri" w:eastAsia="Times New Roman" w:hAnsi="Calibri" w:cs="Times New Roman"/>
          <w:lang w:eastAsia="cs-CZ"/>
        </w:rPr>
        <w:t xml:space="preserve"> č</w:t>
      </w:r>
      <w:r w:rsidR="00373480">
        <w:rPr>
          <w:rFonts w:ascii="Calibri" w:eastAsia="Times New Roman" w:hAnsi="Calibri" w:cs="Times New Roman"/>
          <w:lang w:eastAsia="cs-CZ"/>
        </w:rPr>
        <w:t>.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373480">
        <w:rPr>
          <w:rFonts w:ascii="Calibri" w:eastAsia="Times New Roman" w:hAnsi="Calibri" w:cs="Times New Roman"/>
          <w:lang w:eastAsia="cs-CZ"/>
        </w:rPr>
        <w:t>3783-125/2013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k tíži Pozemku právo, odpovídající věcnému břemeni</w:t>
      </w:r>
      <w:r w:rsidR="00D11C6A">
        <w:rPr>
          <w:rFonts w:ascii="Calibri" w:eastAsia="Times New Roman" w:hAnsi="Calibri" w:cs="Times New Roman"/>
          <w:lang w:eastAsia="cs-CZ"/>
        </w:rPr>
        <w:t xml:space="preserve"> dle GP v rozsahu A + B</w:t>
      </w:r>
      <w:r w:rsidRPr="002D34C4">
        <w:rPr>
          <w:rFonts w:ascii="Calibri" w:eastAsia="Times New Roman" w:hAnsi="Calibri" w:cs="Times New Roman"/>
          <w:lang w:eastAsia="cs-CZ"/>
        </w:rPr>
        <w:t>, spočívající v umístění stavby plynárenského zařízení na Pozemku  a v právu přístupu a vjezdu na Pozemek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Geometrický plán č. </w:t>
      </w:r>
      <w:r w:rsidR="00373480">
        <w:rPr>
          <w:rFonts w:ascii="Calibri" w:eastAsia="Times New Roman" w:hAnsi="Calibri" w:cs="Times New Roman"/>
          <w:lang w:eastAsia="cs-CZ"/>
        </w:rPr>
        <w:t>3783-125/2013</w:t>
      </w:r>
      <w:r w:rsidRPr="002D34C4">
        <w:rPr>
          <w:rFonts w:ascii="Calibri" w:eastAsia="Times New Roman" w:hAnsi="Calibri" w:cs="Times New Roman"/>
          <w:lang w:eastAsia="cs-CZ"/>
        </w:rPr>
        <w:t xml:space="preserve"> pro účely zřízení věcného břemene dle bodu 1. tohoto článku, schválený Katastrálním úřadem pro </w:t>
      </w:r>
      <w:r w:rsidR="00373480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373480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dne </w:t>
      </w:r>
      <w:r w:rsidR="00373480">
        <w:rPr>
          <w:rFonts w:ascii="Calibri" w:eastAsia="Times New Roman" w:hAnsi="Calibri" w:cs="Times New Roman"/>
          <w:lang w:eastAsia="cs-CZ"/>
        </w:rPr>
        <w:t>11.10.2013</w:t>
      </w:r>
      <w:r w:rsidRPr="002D34C4">
        <w:rPr>
          <w:rFonts w:ascii="Calibri" w:eastAsia="Times New Roman" w:hAnsi="Calibri" w:cs="Times New Roman"/>
          <w:lang w:eastAsia="cs-CZ"/>
        </w:rPr>
        <w:t xml:space="preserve"> pod </w:t>
      </w:r>
      <w:r w:rsidR="00373480">
        <w:rPr>
          <w:rFonts w:ascii="Calibri" w:eastAsia="Times New Roman" w:hAnsi="Calibri" w:cs="Times New Roman"/>
          <w:lang w:eastAsia="cs-CZ"/>
        </w:rPr>
        <w:t>č. 3775/2013</w:t>
      </w:r>
      <w:r w:rsidRPr="002D34C4">
        <w:rPr>
          <w:rFonts w:ascii="Calibri" w:eastAsia="Times New Roman" w:hAnsi="Calibri" w:cs="Times New Roman"/>
          <w:lang w:eastAsia="cs-CZ"/>
        </w:rPr>
        <w:t xml:space="preserve">, je přílohou č. </w:t>
      </w:r>
      <w:smartTag w:uri="urn:schemas-microsoft-com:office:smarttags" w:element="metricconverter">
        <w:smartTagPr>
          <w:attr w:name="ProductID" w:val="1 a"/>
        </w:smartTagPr>
        <w:r w:rsidRPr="002D34C4">
          <w:rPr>
            <w:rFonts w:ascii="Calibri" w:eastAsia="Times New Roman" w:hAnsi="Calibri" w:cs="Times New Roman"/>
            <w:lang w:eastAsia="cs-CZ"/>
          </w:rPr>
          <w:t>1 a</w:t>
        </w:r>
      </w:smartTag>
      <w:r w:rsidRPr="002D34C4">
        <w:rPr>
          <w:rFonts w:ascii="Calibri" w:eastAsia="Times New Roman" w:hAnsi="Calibri" w:cs="Times New Roman"/>
          <w:lang w:eastAsia="cs-CZ"/>
        </w:rPr>
        <w:t xml:space="preserve"> nedílnou součástí této smlouvy.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berou na vědomí,</w:t>
      </w:r>
      <w:r w:rsidR="00D11C6A">
        <w:rPr>
          <w:rFonts w:ascii="Calibri" w:eastAsia="Times New Roman" w:hAnsi="Calibri" w:cs="Times New Roman"/>
          <w:lang w:eastAsia="cs-CZ"/>
        </w:rPr>
        <w:t xml:space="preserve"> že se změnou vlastníka Pozemku</w:t>
      </w:r>
      <w:r w:rsidRPr="002D34C4">
        <w:rPr>
          <w:rFonts w:ascii="Calibri" w:eastAsia="Times New Roman" w:hAnsi="Calibri" w:cs="Times New Roman"/>
          <w:lang w:eastAsia="cs-CZ"/>
        </w:rPr>
        <w:t xml:space="preserve"> přecházejí práva a povinnosti, vyplývající z věcného břemene, na nabyvatele Pozemku.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B15AAB" w:rsidRDefault="002D34C4" w:rsidP="00B15AAB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:rsidR="00B15AAB" w:rsidRDefault="00B15AAB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IV.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Výše náhrady za zřízení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Právo podle ustanovení čl. III. této smlouvy se zřizuje jako úplatné, a to za jednorázovou náhradu ve </w:t>
      </w:r>
      <w:r w:rsidR="002B10B8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 ''''''''''' ''''</w:t>
      </w:r>
      <w:r w:rsidRPr="002D34C4">
        <w:rPr>
          <w:rFonts w:ascii="Calibri" w:eastAsia="Times New Roman" w:hAnsi="Calibri" w:cs="Times New Roman"/>
          <w:lang w:eastAsia="cs-CZ"/>
        </w:rPr>
        <w:t xml:space="preserve"> (slovy: </w:t>
      </w:r>
      <w:r w:rsidR="003F6BA7">
        <w:rPr>
          <w:rFonts w:ascii="Calibri" w:eastAsia="Times New Roman" w:hAnsi="Calibri" w:cs="Times New Roman"/>
          <w:lang w:eastAsia="cs-CZ"/>
        </w:rPr>
        <w:t>jedno</w:t>
      </w:r>
      <w:r w:rsidR="00C11367">
        <w:rPr>
          <w:rFonts w:ascii="Calibri" w:eastAsia="Times New Roman" w:hAnsi="Calibri" w:cs="Times New Roman"/>
          <w:lang w:eastAsia="cs-CZ"/>
        </w:rPr>
        <w:t>stokorun</w:t>
      </w:r>
      <w:r w:rsidRPr="002D34C4">
        <w:rPr>
          <w:rFonts w:ascii="Calibri" w:eastAsia="Times New Roman" w:hAnsi="Calibri" w:cs="Times New Roman"/>
          <w:lang w:eastAsia="cs-CZ"/>
        </w:rPr>
        <w:t xml:space="preserve">českých) </w:t>
      </w:r>
      <w:r w:rsidRPr="002D34C4">
        <w:rPr>
          <w:rFonts w:ascii="Calibri" w:eastAsia="Times New Roman" w:hAnsi="Calibri" w:cs="Times New Roman"/>
          <w:szCs w:val="24"/>
          <w:lang w:eastAsia="cs-CZ"/>
        </w:rPr>
        <w:t>+ příslušná sazba DPH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contextualSpacing/>
        <w:jc w:val="both"/>
        <w:textAlignment w:val="baseline"/>
        <w:rPr>
          <w:rFonts w:ascii="Calibri" w:eastAsia="Times New Roman" w:hAnsi="Calibri" w:cs="Times New Roman"/>
          <w:szCs w:val="24"/>
          <w:lang w:eastAsia="cs-CZ"/>
        </w:rPr>
      </w:pP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Právo na zaplacení výše uvedené částky vzniká </w:t>
      </w:r>
      <w:r w:rsidRPr="002D34C4">
        <w:rPr>
          <w:rFonts w:ascii="Calibri" w:eastAsia="Times New Roman" w:hAnsi="Calibri" w:cs="Times New Roman"/>
          <w:lang w:eastAsia="cs-CZ"/>
        </w:rPr>
        <w:t xml:space="preserve">povinnému na 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základě vystavené faktury – daňového dokladu. Povinný vystaví fakturu do 15 dnů </w:t>
      </w:r>
      <w:r w:rsidRPr="002D34C4">
        <w:rPr>
          <w:rFonts w:ascii="Calibri" w:eastAsia="Times New Roman" w:hAnsi="Calibri" w:cs="Times New Roman"/>
          <w:lang w:eastAsia="cs-CZ"/>
        </w:rPr>
        <w:t xml:space="preserve">ode dne podání návrhu na vklad práva 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odpovídajícího věcnému břemeni </w:t>
      </w:r>
      <w:r w:rsidRPr="002D34C4">
        <w:rPr>
          <w:rFonts w:ascii="Calibri" w:eastAsia="Times New Roman" w:hAnsi="Calibri" w:cs="Times New Roman"/>
          <w:lang w:eastAsia="cs-CZ"/>
        </w:rPr>
        <w:t xml:space="preserve">do katastru nemovitostí. 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Za den uskutečnění zdanitelného plnění se považuje den podání návrhu na vklad. Splatnost faktury je do 21 dnů poté, co bude vyrozumění o provedení vkladu práva dle této smlouvy doručeno oprávněnému.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Faktura musí mít náležitosti daňového dokladu podle příslušných ustanovení zákona č. 235/2004 Sb., zákona o DPH, v platném znění.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si vyhrazuje právo vrátit bez zaplacení fakturu, která neobsahuje všechny náležitosti, uvedené v  bodu 3. tohoto článku. Vrácením faktury přestane běžet původní lhůta splatnosti. Po opravě faktury povinným běží nová lhůta splatnosti 21 dní ode dne doručení opravené nebo nově vyhotovené faktury.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bude tato platba provedena tak, že částku, představující DPH, zaplatí oprávněný přímo na účet správce daně povinného.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3F6BA7" w:rsidRPr="00B15AAB" w:rsidRDefault="002D34C4" w:rsidP="00B15AAB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Finanční výdaje, spojené s podáním návrhu na vklad práva dle této smlouvy do katastru nemovitostí a náklady, spojené s vyhotovením geometrického plánu nese </w:t>
      </w:r>
      <w:r w:rsidRPr="002D34C4">
        <w:rPr>
          <w:rFonts w:ascii="Calibri" w:eastAsia="Times New Roman" w:hAnsi="Calibri" w:cs="Times New Roman"/>
          <w:szCs w:val="24"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Default="002D34C4" w:rsidP="00B15AAB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B15AAB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Doba trvání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břemeno, zřízené touto smlouvou, se sjednává jako časově neomezené a zaniká v případech, stanovených zákonem.</w:t>
      </w:r>
    </w:p>
    <w:p w:rsidR="003F6BA7" w:rsidRDefault="003F6BA7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lastRenderedPageBreak/>
        <w:t>VI.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Ostatní ujednání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výslovně souhlasí, aby oprávněný a jeho případní smluvní partneři v době do povolení vkladu věcného břemene dle této smlouvy do katastru nemovitostí Pozemek užíval za účelem zajištění bezpečného provozu, údržby, oprav a stavebních úprav plynárenského zařízení.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má ve vztahu k Pozemku dále oprávnění, která mu, jako PDS, vznikem věcného břemene dle této smlouvy přísluší především z ustanovení § 59 odst. 1 písm. f) a g) energetického zákona: </w:t>
      </w:r>
    </w:p>
    <w:p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vstupovat a vjíždět na Pozemek v souvislosti s realizací práv, vyplývajících z věcného břemene;</w:t>
      </w:r>
    </w:p>
    <w:p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odstraňovat a oklešťovat na Pozemku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povinen při výkonu práva dle této smlouvy postupovat dle příslušných ustanovení energetického zákona a co nejvíce šetřit práva povinného. Po skončení prací je oprávněný povinen uvést vždy Pozemek do předchozího stavu a není-li to možné s ohledem na povahu provedených prací, do stavu odpovídajícího předchozímu účelu či užívání nemovitosti a bezprostředně oznámit tuto skutečnost povinnému.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F94912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Jednat ve věcech, souvisejících s výkonem práv podle této smlouvy, je za stranu povinnou oprávněn, tel. č.: </w:t>
      </w:r>
      <w:r w:rsidR="003F6BA7">
        <w:rPr>
          <w:rFonts w:ascii="Calibri" w:eastAsia="Times New Roman" w:hAnsi="Calibri" w:cs="Times New Roman"/>
          <w:lang w:eastAsia="cs-CZ"/>
        </w:rPr>
        <w:t>224 232 623</w:t>
      </w:r>
      <w:r w:rsidR="003F6BA7" w:rsidRPr="002D34C4">
        <w:rPr>
          <w:rFonts w:ascii="Calibri" w:eastAsia="Times New Roman" w:hAnsi="Calibri" w:cs="Times New Roman"/>
          <w:lang w:eastAsia="cs-CZ"/>
        </w:rPr>
        <w:t xml:space="preserve">. </w:t>
      </w:r>
      <w:r w:rsidRPr="002D34C4">
        <w:rPr>
          <w:rFonts w:ascii="Calibri" w:eastAsia="Times New Roman" w:hAnsi="Calibri" w:cs="Times New Roman"/>
          <w:lang w:eastAsia="cs-CZ"/>
        </w:rPr>
        <w:t>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:rsidR="003F6BA7" w:rsidRDefault="003F6BA7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Závěrečná ustanovení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Podpisem této smlouvy povinný, jako subjekt údajů, potvrzuje, že oprávněný,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Povinný, jako subjekt údajů, prohlašuje, že si je vědom všech svých zákonných práv v souvislosti s poskytnutím svých osobních údajů k účelu, danému touto smlouvou. Oprávněný se zavazuje při správě osobních údajů povinného využívat je a nakládat s nimi pouze ke sjednanému účelu a v souladu se zákonem. 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prohlašují, že smlouva představuje úplnou dohodu o veškerých jejích náležitostech a neexistují náležitosti, které by smluvní strany neujednaly.</w:t>
      </w:r>
    </w:p>
    <w:p w:rsidR="003F6BA7" w:rsidRPr="002D34C4" w:rsidRDefault="003F6BA7" w:rsidP="00115F55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C11367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Tato smlouva je vyhotovena ve třech </w:t>
      </w:r>
      <w:r w:rsidR="002D34C4" w:rsidRPr="002D34C4">
        <w:rPr>
          <w:rFonts w:ascii="Calibri" w:eastAsia="Times New Roman" w:hAnsi="Calibri" w:cs="Times New Roman"/>
          <w:lang w:eastAsia="cs-CZ"/>
        </w:rPr>
        <w:t>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 w:rsidR="00C11367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C11367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>, prostřednictvím oprávněného.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:rsidR="002D34C4" w:rsidRPr="002D34C4" w:rsidRDefault="002D34C4" w:rsidP="002D34C4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nabývá platnosti a účinnosti dnem jejího podpisu oběma smluvními stranami, přičemž rozhodující je datum podpisu poslední smluvní strany. 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může být měněna nebo doplňována pouze formou vzestupně číslovaných písemných dodatků, podepsaných oběma smluvními stranami.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a právní vztahy z ní vyplývající se řídí právním řádem České republiky.</w:t>
      </w:r>
    </w:p>
    <w:p w:rsidR="003F6BA7" w:rsidRPr="002D34C4" w:rsidRDefault="003F6BA7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3F6BA7" w:rsidRPr="00B15AAB" w:rsidRDefault="002D34C4" w:rsidP="00B15AAB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Na právní vztahy, vyplývající nebo související s touto smlouvou a v ní nebo v energetickém zákoně výslovně neupravené se přiměřeně uplatní ustanovení Občanského zákoníku.</w:t>
      </w:r>
    </w:p>
    <w:p w:rsidR="003F6BA7" w:rsidRPr="002D34C4" w:rsidRDefault="003F6BA7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3F6BA7" w:rsidRDefault="003F6BA7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lastRenderedPageBreak/>
        <w:t xml:space="preserve">Přílohy: </w:t>
      </w:r>
      <w:r w:rsidRPr="002D34C4">
        <w:rPr>
          <w:rFonts w:ascii="Calibri" w:eastAsia="Times New Roman" w:hAnsi="Calibri" w:cs="Times New Roman"/>
          <w:b/>
          <w:lang w:eastAsia="cs-CZ"/>
        </w:rPr>
        <w:tab/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č. 1 - Geometrický plán č. </w:t>
      </w:r>
      <w:r w:rsidR="00C11367">
        <w:rPr>
          <w:rFonts w:ascii="Calibri" w:eastAsia="Times New Roman" w:hAnsi="Calibri" w:cs="Times New Roman"/>
          <w:lang w:eastAsia="cs-CZ"/>
        </w:rPr>
        <w:t>3783-125/2013</w:t>
      </w:r>
    </w:p>
    <w:p w:rsid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B15AAB" w:rsidRPr="002D34C4" w:rsidRDefault="00B15AAB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Style w:val="Mkatabulky1"/>
        <w:tblW w:w="9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5"/>
      </w:tblGrid>
      <w:tr w:rsidR="002D34C4" w:rsidRPr="002D34C4" w:rsidTr="00115F55">
        <w:trPr>
          <w:trHeight w:val="259"/>
        </w:trPr>
        <w:tc>
          <w:tcPr>
            <w:tcW w:w="4565" w:type="dxa"/>
          </w:tcPr>
          <w:p w:rsidR="002D34C4" w:rsidRPr="002D34C4" w:rsidRDefault="002D34C4" w:rsidP="003F6BA7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 xml:space="preserve">V </w:t>
            </w:r>
            <w:r w:rsidR="003F6BA7">
              <w:rPr>
                <w:rFonts w:ascii="Calibri" w:eastAsia="Calibri" w:hAnsi="Calibri" w:cs="Times New Roman"/>
              </w:rPr>
              <w:t>Praze</w:t>
            </w:r>
            <w:r w:rsidR="003F6BA7" w:rsidRPr="002D34C4">
              <w:rPr>
                <w:rFonts w:ascii="Calibri" w:eastAsia="Calibri" w:hAnsi="Calibri" w:cs="Times New Roman"/>
              </w:rPr>
              <w:t xml:space="preserve"> </w:t>
            </w:r>
            <w:r w:rsidRPr="002D34C4">
              <w:rPr>
                <w:rFonts w:ascii="Calibri" w:eastAsia="Calibri" w:hAnsi="Calibri" w:cs="Times New Roman"/>
              </w:rPr>
              <w:t>dne …………………….</w:t>
            </w: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Praze dne …………………….</w:t>
            </w:r>
          </w:p>
        </w:tc>
      </w:tr>
      <w:tr w:rsidR="002D34C4" w:rsidRPr="002D34C4" w:rsidTr="00115F55">
        <w:trPr>
          <w:trHeight w:val="270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115F55">
        <w:trPr>
          <w:trHeight w:val="519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Povinný:</w:t>
            </w: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Oprávněný:</w:t>
            </w:r>
          </w:p>
        </w:tc>
      </w:tr>
      <w:tr w:rsidR="002D34C4" w:rsidRPr="002D34C4" w:rsidTr="00115F55">
        <w:trPr>
          <w:trHeight w:val="270"/>
        </w:trPr>
        <w:tc>
          <w:tcPr>
            <w:tcW w:w="4565" w:type="dxa"/>
          </w:tcPr>
          <w:p w:rsidR="002D34C4" w:rsidRPr="002D34C4" w:rsidRDefault="003F6BA7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GREENMAIL s.r.o.</w:t>
            </w: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Pražská plynárenská Distribuce, a.s.,</w:t>
            </w:r>
            <w:r w:rsidRPr="002D34C4">
              <w:rPr>
                <w:rFonts w:ascii="Calibri" w:eastAsia="Calibri" w:hAnsi="Calibri" w:cs="Times New Roman"/>
              </w:rPr>
              <w:tab/>
            </w:r>
          </w:p>
        </w:tc>
      </w:tr>
      <w:tr w:rsidR="002D34C4" w:rsidRPr="002D34C4" w:rsidTr="00115F55">
        <w:trPr>
          <w:trHeight w:val="259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člen koncernu Pražská plynárenská, a.s.</w:t>
            </w:r>
          </w:p>
        </w:tc>
      </w:tr>
      <w:tr w:rsidR="002D34C4" w:rsidRPr="002D34C4" w:rsidTr="00115F55">
        <w:trPr>
          <w:trHeight w:val="259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115F55">
        <w:trPr>
          <w:trHeight w:val="259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115F55">
        <w:trPr>
          <w:trHeight w:val="270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115F55">
        <w:trPr>
          <w:trHeight w:val="259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</w:tr>
      <w:tr w:rsidR="002D34C4" w:rsidRPr="002D34C4" w:rsidTr="00115F55">
        <w:trPr>
          <w:trHeight w:val="530"/>
        </w:trPr>
        <w:tc>
          <w:tcPr>
            <w:tcW w:w="4565" w:type="dxa"/>
          </w:tcPr>
          <w:p w:rsidR="002D34C4" w:rsidRDefault="003F6BA7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Ing. David Štekl</w:t>
            </w:r>
          </w:p>
          <w:p w:rsidR="003F6BA7" w:rsidRPr="002D34C4" w:rsidRDefault="00146AEF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</w:t>
            </w:r>
            <w:r w:rsidR="003F6BA7">
              <w:rPr>
                <w:rFonts w:ascii="Calibri" w:eastAsia="Calibri" w:hAnsi="Calibri" w:cs="Times New Roman"/>
              </w:rPr>
              <w:t>ednatel společnosti</w:t>
            </w:r>
          </w:p>
        </w:tc>
        <w:tc>
          <w:tcPr>
            <w:tcW w:w="4565" w:type="dxa"/>
          </w:tcPr>
          <w:p w:rsidR="002D34C4" w:rsidRPr="002B10B8" w:rsidRDefault="002B10B8" w:rsidP="002D34C4">
            <w:pPr>
              <w:jc w:val="both"/>
              <w:rPr>
                <w:rFonts w:ascii="Calibri" w:eastAsia="Calibri" w:hAnsi="Calibri" w:cs="Times New Roman"/>
                <w:highlight w:val="black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highlight w:val="black"/>
              </w:rPr>
              <w:t>'''''''''' ''''''''' ''''''''''''''''</w:t>
            </w:r>
          </w:p>
          <w:p w:rsidR="00146AEF" w:rsidRPr="002D34C4" w:rsidRDefault="00146AEF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na základě pověření</w:t>
            </w:r>
          </w:p>
        </w:tc>
      </w:tr>
      <w:tr w:rsidR="002D34C4" w:rsidRPr="002D34C4" w:rsidTr="00115F55">
        <w:trPr>
          <w:trHeight w:val="259"/>
        </w:trPr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565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866A0B" w:rsidRPr="002D34C4" w:rsidRDefault="00866A0B">
      <w:pPr>
        <w:rPr>
          <w:b/>
        </w:rPr>
      </w:pPr>
    </w:p>
    <w:sectPr w:rsidR="00866A0B" w:rsidRPr="002D34C4" w:rsidSect="002D5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EA3" w:rsidRDefault="000F0EA3">
      <w:pPr>
        <w:spacing w:after="0" w:line="240" w:lineRule="auto"/>
      </w:pPr>
      <w:r>
        <w:separator/>
      </w:r>
    </w:p>
  </w:endnote>
  <w:endnote w:type="continuationSeparator" w:id="0">
    <w:p w:rsidR="000F0EA3" w:rsidRDefault="000F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B8" w:rsidRDefault="002B10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34" w:rsidRPr="002B10B8" w:rsidRDefault="000F0EA3" w:rsidP="002B10B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B8" w:rsidRDefault="002B10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EA3" w:rsidRDefault="000F0EA3">
      <w:pPr>
        <w:spacing w:after="0" w:line="240" w:lineRule="auto"/>
      </w:pPr>
      <w:r>
        <w:separator/>
      </w:r>
    </w:p>
  </w:footnote>
  <w:footnote w:type="continuationSeparator" w:id="0">
    <w:p w:rsidR="000F0EA3" w:rsidRDefault="000F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B8" w:rsidRDefault="002B10B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0F" w:rsidRPr="0061720F" w:rsidRDefault="0061720F" w:rsidP="0061720F">
    <w:pPr>
      <w:pStyle w:val="Zhlav"/>
      <w:jc w:val="right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B8" w:rsidRDefault="002B10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an Novotny">
    <w15:presenceInfo w15:providerId="AD" w15:userId="S-1-5-21-3700803931-3412066713-2253942987-1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C4"/>
    <w:rsid w:val="00074E3D"/>
    <w:rsid w:val="000B7FEF"/>
    <w:rsid w:val="000F0EA3"/>
    <w:rsid w:val="000F7B8F"/>
    <w:rsid w:val="00115F55"/>
    <w:rsid w:val="00126D38"/>
    <w:rsid w:val="001328CC"/>
    <w:rsid w:val="00146AEF"/>
    <w:rsid w:val="00155796"/>
    <w:rsid w:val="001C01BC"/>
    <w:rsid w:val="00280DFD"/>
    <w:rsid w:val="002B10B8"/>
    <w:rsid w:val="002D34C4"/>
    <w:rsid w:val="002E775F"/>
    <w:rsid w:val="00373480"/>
    <w:rsid w:val="003A62E7"/>
    <w:rsid w:val="003C63EB"/>
    <w:rsid w:val="003F6BA7"/>
    <w:rsid w:val="004805FD"/>
    <w:rsid w:val="00520B94"/>
    <w:rsid w:val="00592ED2"/>
    <w:rsid w:val="0061720F"/>
    <w:rsid w:val="007543DB"/>
    <w:rsid w:val="0078783B"/>
    <w:rsid w:val="0083639F"/>
    <w:rsid w:val="00866A0B"/>
    <w:rsid w:val="00925D89"/>
    <w:rsid w:val="00AB541C"/>
    <w:rsid w:val="00AB6625"/>
    <w:rsid w:val="00B15AAB"/>
    <w:rsid w:val="00B402E1"/>
    <w:rsid w:val="00BD397E"/>
    <w:rsid w:val="00C11367"/>
    <w:rsid w:val="00C11610"/>
    <w:rsid w:val="00C65D8A"/>
    <w:rsid w:val="00D11C6A"/>
    <w:rsid w:val="00D13EA6"/>
    <w:rsid w:val="00D55F95"/>
    <w:rsid w:val="00D8730F"/>
    <w:rsid w:val="00D95616"/>
    <w:rsid w:val="00DA2F40"/>
    <w:rsid w:val="00DC4E93"/>
    <w:rsid w:val="00F45C40"/>
    <w:rsid w:val="00F94912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34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D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34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D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2017-07-27T08:14:00Z</dcterms:created>
  <dcterms:modified xsi:type="dcterms:W3CDTF">2017-07-27T08:15:00Z</dcterms:modified>
</cp:coreProperties>
</file>