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2D34C4">
        <w:rPr>
          <w:rFonts w:ascii="Calibri" w:eastAsia="Times New Roman" w:hAnsi="Calibri" w:cs="Times New Roman"/>
          <w:b/>
          <w:sz w:val="32"/>
          <w:szCs w:val="32"/>
          <w:lang w:eastAsia="cs-CZ"/>
        </w:rPr>
        <w:t>Smlouva o zřízení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uzavřená podle ustanovení § 59 odst. 2 zákona č. 458/2000Sb., energetický zákon, v platném znění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 § 1257 a následujících ustanovení zákona č. 89/2012 Sb., Občanský zákoník, v platném znění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Číslo smlouvy: 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BF1B28">
        <w:rPr>
          <w:rFonts w:ascii="Calibri" w:eastAsia="Times New Roman" w:hAnsi="Calibri" w:cs="Times New Roman"/>
          <w:lang w:eastAsia="cs-CZ"/>
        </w:rPr>
        <w:t>191/2017/OP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Smluvní strany</w:t>
      </w:r>
    </w:p>
    <w:p w:rsidR="002D34C4" w:rsidRPr="00BF1B28" w:rsidRDefault="00BF1B28" w:rsidP="002D34C4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BF1B28">
        <w:rPr>
          <w:rFonts w:ascii="Calibri" w:eastAsia="Times New Roman" w:hAnsi="Calibri" w:cs="Times New Roman"/>
          <w:b/>
          <w:lang w:eastAsia="cs-CZ"/>
        </w:rPr>
        <w:t>CWI DELTA s.r.o.</w:t>
      </w:r>
    </w:p>
    <w:p w:rsidR="00BF1B28" w:rsidRDefault="002D34C4" w:rsidP="002D34C4">
      <w:pPr>
        <w:spacing w:after="0" w:line="240" w:lineRule="auto"/>
        <w:jc w:val="both"/>
      </w:pPr>
      <w:r w:rsidRPr="002D34C4">
        <w:rPr>
          <w:rFonts w:ascii="Calibri" w:eastAsia="Times New Roman" w:hAnsi="Calibri" w:cs="Times New Roman"/>
          <w:lang w:eastAsia="cs-CZ"/>
        </w:rPr>
        <w:t>se sídlem: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BF1B28">
        <w:t>Archeologická 2256/1, Stodůlky, 155 00 Praha 5</w:t>
      </w:r>
    </w:p>
    <w:p w:rsidR="00BF1B28" w:rsidRDefault="00BF1B28" w:rsidP="002D34C4">
      <w:pPr>
        <w:spacing w:after="0" w:line="240" w:lineRule="auto"/>
        <w:jc w:val="both"/>
      </w:pPr>
      <w:r>
        <w:rPr>
          <w:rFonts w:ascii="Calibri" w:eastAsia="Times New Roman" w:hAnsi="Calibri" w:cs="Times New Roman"/>
          <w:lang w:eastAsia="cs-CZ"/>
        </w:rPr>
        <w:t>zapsaná</w:t>
      </w:r>
      <w:r w:rsidR="002D34C4" w:rsidRPr="002D34C4">
        <w:rPr>
          <w:rFonts w:ascii="Calibri" w:eastAsia="Times New Roman" w:hAnsi="Calibri" w:cs="Times New Roman"/>
          <w:lang w:eastAsia="cs-CZ"/>
        </w:rPr>
        <w:t xml:space="preserve"> v obchodním rejstříku</w:t>
      </w:r>
      <w:r>
        <w:rPr>
          <w:rFonts w:ascii="Calibri" w:eastAsia="Times New Roman" w:hAnsi="Calibri" w:cs="Times New Roman"/>
          <w:lang w:eastAsia="cs-CZ"/>
        </w:rPr>
        <w:t xml:space="preserve"> vedeném Městským soudem v Praze</w:t>
      </w:r>
      <w:r w:rsidR="002D34C4" w:rsidRPr="002D34C4">
        <w:rPr>
          <w:rFonts w:ascii="Calibri" w:eastAsia="Times New Roman" w:hAnsi="Calibri" w:cs="Times New Roman"/>
          <w:lang w:eastAsia="cs-CZ"/>
        </w:rPr>
        <w:t xml:space="preserve"> oddíl </w:t>
      </w:r>
      <w:r>
        <w:rPr>
          <w:rFonts w:ascii="Calibri" w:eastAsia="Times New Roman" w:hAnsi="Calibri" w:cs="Times New Roman"/>
          <w:lang w:eastAsia="cs-CZ"/>
        </w:rPr>
        <w:t>C</w:t>
      </w:r>
      <w:r w:rsidR="002D34C4" w:rsidRPr="002D34C4">
        <w:rPr>
          <w:rFonts w:ascii="Calibri" w:eastAsia="Times New Roman" w:hAnsi="Calibri" w:cs="Times New Roman"/>
          <w:lang w:eastAsia="cs-CZ"/>
        </w:rPr>
        <w:t xml:space="preserve">, vložka </w:t>
      </w:r>
      <w:r>
        <w:t>237624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zastoupen</w:t>
      </w:r>
      <w:r w:rsidR="00BF1B28">
        <w:rPr>
          <w:rFonts w:ascii="Calibri" w:eastAsia="Times New Roman" w:hAnsi="Calibri" w:cs="Times New Roman"/>
          <w:lang w:eastAsia="cs-CZ"/>
        </w:rPr>
        <w:t>a</w:t>
      </w:r>
      <w:r w:rsidRPr="002D34C4">
        <w:rPr>
          <w:rFonts w:ascii="Calibri" w:eastAsia="Times New Roman" w:hAnsi="Calibri" w:cs="Times New Roman"/>
          <w:lang w:eastAsia="cs-CZ"/>
        </w:rPr>
        <w:t>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BF1B28">
        <w:rPr>
          <w:rFonts w:ascii="Calibri" w:eastAsia="Times New Roman" w:hAnsi="Calibri" w:cs="Times New Roman"/>
          <w:lang w:eastAsia="cs-CZ"/>
        </w:rPr>
        <w:t>Ing. Radkem Menšíkem, jednatelem</w:t>
      </w:r>
    </w:p>
    <w:p w:rsidR="00BF1B28" w:rsidRDefault="002D34C4" w:rsidP="002D34C4">
      <w:pPr>
        <w:spacing w:after="0" w:line="240" w:lineRule="auto"/>
        <w:jc w:val="both"/>
        <w:rPr>
          <w:rStyle w:val="nowrap"/>
        </w:rPr>
      </w:pPr>
      <w:r w:rsidRPr="002D34C4">
        <w:rPr>
          <w:rFonts w:ascii="Calibri" w:eastAsia="Times New Roman" w:hAnsi="Calibri" w:cs="Times New Roman"/>
          <w:lang w:eastAsia="cs-CZ"/>
        </w:rPr>
        <w:t>IČO: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BF1B28">
        <w:rPr>
          <w:rStyle w:val="nowrap"/>
        </w:rPr>
        <w:t>03780597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DIČ: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CZ</w:t>
      </w:r>
      <w:r w:rsidR="00BF1B28" w:rsidRPr="00BF1B28">
        <w:rPr>
          <w:rFonts w:ascii="Calibri" w:eastAsia="Times New Roman" w:hAnsi="Calibri" w:cs="Times New Roman"/>
          <w:lang w:eastAsia="cs-CZ"/>
        </w:rPr>
        <w:t>03780597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plátce DPH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bankovní spojení: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8C1392">
        <w:rPr>
          <w:rFonts w:ascii="Calibri" w:eastAsia="Times New Roman" w:hAnsi="Calibri" w:cs="Times New Roman"/>
          <w:lang w:eastAsia="cs-CZ"/>
        </w:rPr>
        <w:t xml:space="preserve">Raiffeisenbank a.s., </w:t>
      </w:r>
      <w:r w:rsidRPr="002D34C4">
        <w:rPr>
          <w:rFonts w:ascii="Calibri" w:eastAsia="Times New Roman" w:hAnsi="Calibri" w:cs="Times New Roman"/>
          <w:lang w:eastAsia="cs-CZ"/>
        </w:rPr>
        <w:t>č.ú.</w:t>
      </w:r>
      <w:r w:rsidR="008C1392">
        <w:rPr>
          <w:rFonts w:ascii="Calibri" w:eastAsia="Times New Roman" w:hAnsi="Calibri" w:cs="Times New Roman"/>
          <w:lang w:eastAsia="cs-CZ"/>
        </w:rPr>
        <w:t>: 5140019507/5500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povinný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Pražská plynárenská Distribuce, a.s., člen koncernu Pražská plynárenská, a.s.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se sídlem: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 xml:space="preserve">U Plynárny 500, 145 08 Praha 4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zapsaná v obchodním rejstříku vedeném Městským soudem v Praze, oddíl B, vložka 10356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zastoupená: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070BEC">
        <w:rPr>
          <w:rFonts w:ascii="Calibri" w:eastAsia="Times New Roman" w:hAnsi="Calibri" w:cs="Times New Roman"/>
          <w:lang w:eastAsia="cs-CZ"/>
        </w:rPr>
        <w:t>Mgr. Janou Hyklovou</w:t>
      </w:r>
      <w:r w:rsidRPr="002D34C4">
        <w:rPr>
          <w:rFonts w:ascii="Calibri" w:eastAsia="Times New Roman" w:hAnsi="Calibri" w:cs="Times New Roman"/>
          <w:lang w:eastAsia="cs-CZ"/>
        </w:rPr>
        <w:t xml:space="preserve"> na základě pověření ze dne </w:t>
      </w:r>
      <w:r w:rsidR="00070BEC">
        <w:rPr>
          <w:rFonts w:ascii="Calibri" w:eastAsia="Times New Roman" w:hAnsi="Calibri" w:cs="Times New Roman"/>
          <w:lang w:eastAsia="cs-CZ"/>
        </w:rPr>
        <w:t>3.1.2017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IČO: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27403505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DIČ: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CZ27403505</w:t>
      </w:r>
    </w:p>
    <w:p w:rsidR="002D34C4" w:rsidRPr="002D34C4" w:rsidRDefault="002D34C4" w:rsidP="002D34C4">
      <w:pPr>
        <w:spacing w:after="0" w:line="276" w:lineRule="auto"/>
        <w:ind w:left="1418" w:firstLine="709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plátce DPH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bankovní spojení:</w:t>
      </w:r>
      <w:r w:rsidRPr="002D34C4">
        <w:rPr>
          <w:rFonts w:ascii="Calibri" w:eastAsia="Times New Roman" w:hAnsi="Calibri" w:cs="Times New Roman"/>
          <w:lang w:eastAsia="cs-CZ"/>
        </w:rPr>
        <w:tab/>
        <w:t>Česká spořitelna, a.s., č.ú.: 6103692/0800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Úvodní ustanovení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Povinný z věcného břemene prohlašuje, že je výlučným vlastníkem pozemk</w:t>
      </w:r>
      <w:r w:rsidR="00BF1B28">
        <w:rPr>
          <w:rFonts w:ascii="Calibri" w:eastAsia="Times New Roman" w:hAnsi="Calibri" w:cs="Times New Roman"/>
          <w:lang w:eastAsia="cs-CZ"/>
        </w:rPr>
        <w:t xml:space="preserve">ů </w:t>
      </w:r>
      <w:r w:rsidRPr="002D34C4">
        <w:rPr>
          <w:rFonts w:ascii="Calibri" w:eastAsia="Times New Roman" w:hAnsi="Calibri" w:cs="Times New Roman"/>
          <w:lang w:eastAsia="cs-CZ"/>
        </w:rPr>
        <w:t xml:space="preserve"> parc. č.</w:t>
      </w:r>
      <w:r w:rsidR="00BF1B28">
        <w:rPr>
          <w:rFonts w:ascii="Calibri" w:eastAsia="Times New Roman" w:hAnsi="Calibri" w:cs="Times New Roman"/>
          <w:lang w:eastAsia="cs-CZ"/>
        </w:rPr>
        <w:t xml:space="preserve"> 157/1 a 159 v katastrálním území Uhříněves, obec Praha, zapsaný</w:t>
      </w:r>
      <w:r w:rsidR="00AC2642">
        <w:rPr>
          <w:rFonts w:ascii="Calibri" w:eastAsia="Times New Roman" w:hAnsi="Calibri" w:cs="Times New Roman"/>
          <w:lang w:eastAsia="cs-CZ"/>
        </w:rPr>
        <w:t>ch</w:t>
      </w:r>
      <w:r w:rsidR="00BF1B28">
        <w:rPr>
          <w:rFonts w:ascii="Calibri" w:eastAsia="Times New Roman" w:hAnsi="Calibri" w:cs="Times New Roman"/>
          <w:lang w:eastAsia="cs-CZ"/>
        </w:rPr>
        <w:t xml:space="preserve"> na LV č. 1353 u Katastrálního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  <w:r w:rsidR="00BF1B28">
        <w:rPr>
          <w:rFonts w:ascii="Calibri" w:eastAsia="Times New Roman" w:hAnsi="Calibri" w:cs="Times New Roman"/>
          <w:lang w:eastAsia="cs-CZ"/>
        </w:rPr>
        <w:t xml:space="preserve">úřadu pro hlavní město Prahu, katastrální pracoviště Praha </w:t>
      </w:r>
      <w:r w:rsidRPr="002D34C4">
        <w:rPr>
          <w:rFonts w:ascii="Calibri" w:eastAsia="Times New Roman" w:hAnsi="Calibri" w:cs="Times New Roman"/>
          <w:lang w:eastAsia="cs-CZ"/>
        </w:rPr>
        <w:t>(dále jen Pozem</w:t>
      </w:r>
      <w:r w:rsidR="00BF1B28">
        <w:rPr>
          <w:rFonts w:ascii="Calibri" w:eastAsia="Times New Roman" w:hAnsi="Calibri" w:cs="Times New Roman"/>
          <w:lang w:eastAsia="cs-CZ"/>
        </w:rPr>
        <w:t>ky</w:t>
      </w:r>
      <w:r w:rsidRPr="002D34C4">
        <w:rPr>
          <w:rFonts w:ascii="Calibri" w:eastAsia="Times New Roman" w:hAnsi="Calibri" w:cs="Times New Roman"/>
          <w:lang w:eastAsia="cs-CZ"/>
        </w:rPr>
        <w:t>).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lastRenderedPageBreak/>
        <w:t>Pozemk</w:t>
      </w:r>
      <w:r w:rsidR="00AC2642">
        <w:rPr>
          <w:rFonts w:ascii="Calibri" w:eastAsia="Times New Roman" w:hAnsi="Calibri" w:cs="Times New Roman"/>
          <w:lang w:eastAsia="cs-CZ"/>
        </w:rPr>
        <w:t>y</w:t>
      </w:r>
      <w:r w:rsidRPr="002D34C4">
        <w:rPr>
          <w:rFonts w:ascii="Calibri" w:eastAsia="Times New Roman" w:hAnsi="Calibri" w:cs="Times New Roman"/>
          <w:lang w:eastAsia="cs-CZ"/>
        </w:rPr>
        <w:t xml:space="preserve"> se nachází na území, vymezeném licencí, v němž oprávněný provozuje distribuční soustavu. Oprávněný má povinnost zřídit věcné břemeno, umožňující mu ve smyslu § 59 odst. 2 energetického zákona zřídit a provozovat na Pozem</w:t>
      </w:r>
      <w:r w:rsidR="006B5BEF">
        <w:rPr>
          <w:rFonts w:ascii="Calibri" w:eastAsia="Times New Roman" w:hAnsi="Calibri" w:cs="Times New Roman"/>
          <w:lang w:eastAsia="cs-CZ"/>
        </w:rPr>
        <w:t>cích</w:t>
      </w:r>
      <w:r w:rsidRPr="002D34C4">
        <w:rPr>
          <w:rFonts w:ascii="Calibri" w:eastAsia="Times New Roman" w:hAnsi="Calibri" w:cs="Times New Roman"/>
          <w:lang w:eastAsia="cs-CZ"/>
        </w:rPr>
        <w:t xml:space="preserve"> zařízení distribuční soustavy (dále jen plynárenské zařízení).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425586" w:rsidRDefault="00425586" w:rsidP="00425586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highlight w:val="black"/>
          <w:lang w:eastAsia="cs-CZ"/>
        </w:rPr>
      </w:pPr>
      <w:r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 ''''''''''''''''''' '''''''''''''''' ''''''''''''''''''''' '''' ''''' '''''''' ''''''''''''''''''''' '''''''''''''''''''' '''' '''''''''''''''' ''''''''''''' '''''''''''''''''''''''''''' ''''''''''''''' ''' ''''''''''''''''' ''''''' ''''''''''''''''''''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Předmět smlouvy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425586" w:rsidRDefault="00425586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highlight w:val="black"/>
          <w:lang w:eastAsia="cs-CZ"/>
        </w:rPr>
      </w:pPr>
      <w:r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 ''''''' '''''''''''''' '''' ''''''''''''' ''' '''''''''''''''' '''''''''''''' '''''''''''''''''' ''''''''''''' '''''''''''''''''''''' '''''''''''''''''''''''''' '''''''''''' '''''''''''' ''' ''''' '''''''''' ''' '''''''''''''''''''''''' ''''''''''''' ''''''''''''''''''''''''''' ''''''''''''' '''''''''''''''''''''' '''''''''''''''''''''' ''''''' ''''''' ''' '''''''''''''''''''''''''''''''''' ''''''''''''''' ''''''''' '''''' '''''' '''''''''''''' ''''''''''''''''''''''' ''''''''''' '''''''''''''''''' '''''''''''''''' '''' ''''''''''''''''''''''''' '' ''''''''''' ''''' '''''''' '''''''''''''''''' ''''''''''''' ''''''''''''''''''' ''''' '''''''''''''' ''''''''' ''''''''''''''''''' ''''' '''''''''''''''' '''''''''''''''''''''''''' ''''''''''''''''''''' ''''''''''''''''''''' '' '''''''' '''''''''''''' ''' ''''''''''''''''''''' ''''''''''''''''''''''''' ''''''''''''''''''''' '''''''''''''''''''''''' ''''''''''''''</w:t>
      </w:r>
    </w:p>
    <w:p w:rsidR="002D34C4" w:rsidRPr="00425586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Specifikace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za podmínek, ujednaných v této smlouvě, zřizuje dle geometrického plánu </w:t>
      </w:r>
      <w:r w:rsidR="006B5BEF">
        <w:rPr>
          <w:rFonts w:ascii="Calibri" w:eastAsia="Times New Roman" w:hAnsi="Calibri" w:cs="Times New Roman"/>
          <w:lang w:eastAsia="cs-CZ"/>
        </w:rPr>
        <w:t xml:space="preserve">                            </w:t>
      </w:r>
      <w:r w:rsidRPr="002D34C4">
        <w:rPr>
          <w:rFonts w:ascii="Calibri" w:eastAsia="Times New Roman" w:hAnsi="Calibri" w:cs="Times New Roman"/>
          <w:lang w:eastAsia="cs-CZ"/>
        </w:rPr>
        <w:t>č</w:t>
      </w:r>
      <w:r w:rsidR="006B5BEF">
        <w:rPr>
          <w:rFonts w:ascii="Calibri" w:eastAsia="Times New Roman" w:hAnsi="Calibri" w:cs="Times New Roman"/>
          <w:lang w:eastAsia="cs-CZ"/>
        </w:rPr>
        <w:t>.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  <w:r w:rsidR="006B5BEF">
        <w:rPr>
          <w:rFonts w:ascii="Calibri" w:eastAsia="Times New Roman" w:hAnsi="Calibri" w:cs="Times New Roman"/>
          <w:lang w:eastAsia="cs-CZ"/>
        </w:rPr>
        <w:t>3190-5/2017</w:t>
      </w:r>
      <w:r w:rsidRPr="002D34C4">
        <w:rPr>
          <w:rFonts w:ascii="Calibri" w:eastAsia="Times New Roman" w:hAnsi="Calibri" w:cs="Times New Roman"/>
          <w:lang w:eastAsia="cs-CZ"/>
        </w:rPr>
        <w:t xml:space="preserve"> ve prospěch oprávněného k tíži Pozemk</w:t>
      </w:r>
      <w:r w:rsidR="006B5BEF">
        <w:rPr>
          <w:rFonts w:ascii="Calibri" w:eastAsia="Times New Roman" w:hAnsi="Calibri" w:cs="Times New Roman"/>
          <w:lang w:eastAsia="cs-CZ"/>
        </w:rPr>
        <w:t>ů</w:t>
      </w:r>
      <w:r w:rsidRPr="002D34C4">
        <w:rPr>
          <w:rFonts w:ascii="Calibri" w:eastAsia="Times New Roman" w:hAnsi="Calibri" w:cs="Times New Roman"/>
          <w:lang w:eastAsia="cs-CZ"/>
        </w:rPr>
        <w:t xml:space="preserve"> právo, odpovídající věcnému břemeni, spočívající v umístění stavby plynárenského zařízení na Pozem</w:t>
      </w:r>
      <w:r w:rsidR="006B5BEF">
        <w:rPr>
          <w:rFonts w:ascii="Calibri" w:eastAsia="Times New Roman" w:hAnsi="Calibri" w:cs="Times New Roman"/>
          <w:lang w:eastAsia="cs-CZ"/>
        </w:rPr>
        <w:t>cích</w:t>
      </w:r>
      <w:r w:rsidRPr="002D34C4">
        <w:rPr>
          <w:rFonts w:ascii="Calibri" w:eastAsia="Times New Roman" w:hAnsi="Calibri" w:cs="Times New Roman"/>
          <w:lang w:eastAsia="cs-CZ"/>
        </w:rPr>
        <w:t xml:space="preserve"> a v právu přístupu a vjezdu na Pozem</w:t>
      </w:r>
      <w:r w:rsidR="006B5BEF">
        <w:rPr>
          <w:rFonts w:ascii="Calibri" w:eastAsia="Times New Roman" w:hAnsi="Calibri" w:cs="Times New Roman"/>
          <w:lang w:eastAsia="cs-CZ"/>
        </w:rPr>
        <w:t>ky</w:t>
      </w:r>
      <w:r w:rsidRPr="002D34C4">
        <w:rPr>
          <w:rFonts w:ascii="Calibri" w:eastAsia="Times New Roman" w:hAnsi="Calibri" w:cs="Times New Roman"/>
          <w:lang w:eastAsia="cs-CZ"/>
        </w:rPr>
        <w:t xml:space="preserve"> za </w:t>
      </w:r>
      <w:r w:rsidR="00425586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 ''''''''''''''''' ''''''''''''''''''''''''</w:t>
      </w:r>
      <w:r w:rsidRPr="002D34C4">
        <w:rPr>
          <w:rFonts w:ascii="Calibri" w:eastAsia="Times New Roman" w:hAnsi="Calibri" w:cs="Times New Roman"/>
          <w:lang w:eastAsia="cs-CZ"/>
        </w:rPr>
        <w:t xml:space="preserve">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Geometrický plán č. </w:t>
      </w:r>
      <w:r w:rsidR="006B5BEF">
        <w:rPr>
          <w:rFonts w:ascii="Calibri" w:eastAsia="Times New Roman" w:hAnsi="Calibri" w:cs="Times New Roman"/>
          <w:lang w:eastAsia="cs-CZ"/>
        </w:rPr>
        <w:t>319</w:t>
      </w:r>
      <w:r w:rsidR="001D673A">
        <w:rPr>
          <w:rFonts w:ascii="Calibri" w:eastAsia="Times New Roman" w:hAnsi="Calibri" w:cs="Times New Roman"/>
          <w:lang w:eastAsia="cs-CZ"/>
        </w:rPr>
        <w:t>0</w:t>
      </w:r>
      <w:r w:rsidR="006B5BEF">
        <w:rPr>
          <w:rFonts w:ascii="Calibri" w:eastAsia="Times New Roman" w:hAnsi="Calibri" w:cs="Times New Roman"/>
          <w:lang w:eastAsia="cs-CZ"/>
        </w:rPr>
        <w:t>-5/2017</w:t>
      </w:r>
      <w:r w:rsidRPr="002D34C4">
        <w:rPr>
          <w:rFonts w:ascii="Calibri" w:eastAsia="Times New Roman" w:hAnsi="Calibri" w:cs="Times New Roman"/>
          <w:lang w:eastAsia="cs-CZ"/>
        </w:rPr>
        <w:t xml:space="preserve"> pro účely zřízení věcného břemene dle bodu 1. tohoto článku, schválený Katastrálním úřadem pro </w:t>
      </w:r>
      <w:r w:rsidR="006B5BEF">
        <w:rPr>
          <w:rFonts w:ascii="Calibri" w:eastAsia="Times New Roman" w:hAnsi="Calibri" w:cs="Times New Roman"/>
          <w:lang w:eastAsia="cs-CZ"/>
        </w:rPr>
        <w:t>hlavní město Prahu</w:t>
      </w:r>
      <w:r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6B5BEF">
        <w:rPr>
          <w:rFonts w:ascii="Calibri" w:eastAsia="Times New Roman" w:hAnsi="Calibri" w:cs="Times New Roman"/>
          <w:lang w:eastAsia="cs-CZ"/>
        </w:rPr>
        <w:t xml:space="preserve">Praha </w:t>
      </w:r>
      <w:r w:rsidRPr="002D34C4">
        <w:rPr>
          <w:rFonts w:ascii="Calibri" w:eastAsia="Times New Roman" w:hAnsi="Calibri" w:cs="Times New Roman"/>
          <w:lang w:eastAsia="cs-CZ"/>
        </w:rPr>
        <w:t xml:space="preserve">dne </w:t>
      </w:r>
      <w:r w:rsidR="006B5BEF">
        <w:rPr>
          <w:rFonts w:ascii="Calibri" w:eastAsia="Times New Roman" w:hAnsi="Calibri" w:cs="Times New Roman"/>
          <w:lang w:eastAsia="cs-CZ"/>
        </w:rPr>
        <w:t>25.1.2017</w:t>
      </w:r>
      <w:r w:rsidRPr="002D34C4">
        <w:rPr>
          <w:rFonts w:ascii="Calibri" w:eastAsia="Times New Roman" w:hAnsi="Calibri" w:cs="Times New Roman"/>
          <w:lang w:eastAsia="cs-CZ"/>
        </w:rPr>
        <w:t xml:space="preserve"> pod čj. </w:t>
      </w:r>
      <w:r w:rsidR="006B5BEF">
        <w:rPr>
          <w:rFonts w:ascii="Calibri" w:eastAsia="Times New Roman" w:hAnsi="Calibri" w:cs="Times New Roman"/>
          <w:lang w:eastAsia="cs-CZ"/>
        </w:rPr>
        <w:t>352/2017-101,</w:t>
      </w:r>
      <w:r w:rsidRPr="002D34C4">
        <w:rPr>
          <w:rFonts w:ascii="Calibri" w:eastAsia="Times New Roman" w:hAnsi="Calibri" w:cs="Times New Roman"/>
          <w:lang w:eastAsia="cs-CZ"/>
        </w:rPr>
        <w:t xml:space="preserve"> je přílohou č. </w:t>
      </w:r>
      <w:smartTag w:uri="urn:schemas-microsoft-com:office:smarttags" w:element="metricconverter">
        <w:smartTagPr>
          <w:attr w:name="ProductID" w:val="1 a"/>
        </w:smartTagPr>
        <w:r w:rsidRPr="002D34C4">
          <w:rPr>
            <w:rFonts w:ascii="Calibri" w:eastAsia="Times New Roman" w:hAnsi="Calibri" w:cs="Times New Roman"/>
            <w:lang w:eastAsia="cs-CZ"/>
          </w:rPr>
          <w:t>1 a</w:t>
        </w:r>
      </w:smartTag>
      <w:r w:rsidRPr="002D34C4">
        <w:rPr>
          <w:rFonts w:ascii="Calibri" w:eastAsia="Times New Roman" w:hAnsi="Calibri" w:cs="Times New Roman"/>
          <w:lang w:eastAsia="cs-CZ"/>
        </w:rPr>
        <w:t xml:space="preserve"> nedílnou součástí této smlouvy.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berou na vědomí, že se změnou vlastníka Pozemk</w:t>
      </w:r>
      <w:r w:rsidR="006B5BEF">
        <w:rPr>
          <w:rFonts w:ascii="Calibri" w:eastAsia="Times New Roman" w:hAnsi="Calibri" w:cs="Times New Roman"/>
          <w:lang w:eastAsia="cs-CZ"/>
        </w:rPr>
        <w:t>ů</w:t>
      </w:r>
      <w:r w:rsidRPr="002D34C4">
        <w:rPr>
          <w:rFonts w:ascii="Calibri" w:eastAsia="Times New Roman" w:hAnsi="Calibri" w:cs="Times New Roman"/>
          <w:lang w:eastAsia="cs-CZ"/>
        </w:rPr>
        <w:t xml:space="preserve"> přecházejí práva a povinnosti, vyplývající z věcného břemene, na nabyvatele Pozemk</w:t>
      </w:r>
      <w:r w:rsidR="006B5BEF">
        <w:rPr>
          <w:rFonts w:ascii="Calibri" w:eastAsia="Times New Roman" w:hAnsi="Calibri" w:cs="Times New Roman"/>
          <w:lang w:eastAsia="cs-CZ"/>
        </w:rPr>
        <w:t>ů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DC57B1" w:rsidRDefault="00DC57B1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DC57B1" w:rsidRDefault="00DC57B1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DC57B1" w:rsidRDefault="00DC57B1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DC57B1" w:rsidRPr="002D34C4" w:rsidRDefault="00DC57B1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lastRenderedPageBreak/>
        <w:t>IV.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Výše náhrady za zřízení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Právo podle ustanovení čl. III. této smlouvy se zřizuje jako úplatné, a to za jednorázovou náhradu ve výši </w:t>
      </w:r>
      <w:r w:rsidR="006B5BEF">
        <w:rPr>
          <w:rFonts w:ascii="Calibri" w:eastAsia="Times New Roman" w:hAnsi="Calibri" w:cs="Times New Roman"/>
          <w:lang w:eastAsia="cs-CZ"/>
        </w:rPr>
        <w:t>1 000</w:t>
      </w:r>
      <w:r w:rsidRPr="002D34C4">
        <w:rPr>
          <w:rFonts w:ascii="Calibri" w:eastAsia="Times New Roman" w:hAnsi="Calibri" w:cs="Times New Roman"/>
          <w:lang w:eastAsia="cs-CZ"/>
        </w:rPr>
        <w:t>,- Kč (slovy</w:t>
      </w:r>
      <w:r w:rsidR="006B5BEF">
        <w:rPr>
          <w:rFonts w:ascii="Calibri" w:eastAsia="Times New Roman" w:hAnsi="Calibri" w:cs="Times New Roman"/>
          <w:lang w:eastAsia="cs-CZ"/>
        </w:rPr>
        <w:t>: jedentisíckorunčeských</w:t>
      </w:r>
      <w:r w:rsidRPr="002D34C4">
        <w:rPr>
          <w:rFonts w:ascii="Calibri" w:eastAsia="Times New Roman" w:hAnsi="Calibri" w:cs="Times New Roman"/>
          <w:lang w:eastAsia="cs-CZ"/>
        </w:rPr>
        <w:t xml:space="preserve">) </w:t>
      </w:r>
      <w:r w:rsidRPr="002D34C4">
        <w:rPr>
          <w:rFonts w:ascii="Calibri" w:eastAsia="Times New Roman" w:hAnsi="Calibri" w:cs="Times New Roman"/>
          <w:szCs w:val="24"/>
          <w:lang w:eastAsia="cs-CZ"/>
        </w:rPr>
        <w:t>+ příslušná sazba DPH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425586" w:rsidRDefault="002D34C4" w:rsidP="002D34C4">
      <w:pPr>
        <w:numPr>
          <w:ilvl w:val="0"/>
          <w:numId w:val="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  <w:szCs w:val="24"/>
          <w:lang w:eastAsia="cs-CZ"/>
        </w:rPr>
      </w:pP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Právo na zaplacení výše uvedené částky vzniká </w:t>
      </w:r>
      <w:r w:rsidRPr="002D34C4">
        <w:rPr>
          <w:rFonts w:ascii="Calibri" w:eastAsia="Times New Roman" w:hAnsi="Calibri" w:cs="Times New Roman"/>
          <w:lang w:eastAsia="cs-CZ"/>
        </w:rPr>
        <w:t xml:space="preserve">povinnému na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základě vystavené faktury – daňového dokladu. Povinný </w:t>
      </w:r>
      <w:r w:rsidR="00425586">
        <w:rPr>
          <w:rFonts w:ascii="Calibri" w:eastAsia="Times New Roman" w:hAnsi="Calibri" w:cs="Times New Roman"/>
          <w:noProof/>
          <w:color w:val="000000"/>
          <w:szCs w:val="24"/>
          <w:highlight w:val="black"/>
          <w:lang w:eastAsia="cs-CZ"/>
        </w:rPr>
        <w:t xml:space="preserve">'''''''''''' ''''''''''''' '''''' '''''' '''''''' ''''''' ''''''' ''''''''''''' ''''''''''''' ''''' '''''''''' '''''''''' '''''''''''''''''''''''''' '''''''''''''''' ''''''''''''''' ''''' '''''''''''''' '''''''''''''''''''''''' '''' ''''''' '''''''''''''''''''''' '''''''''''''''''''''''''' ''''''''''' ''''' '''''''''''''''''' '''''''' '''''''''''' '''''''''''' '''''' ''''''''''' '''''''''''''''' '''''''''''''' '''' ''''' '''' ''''''' ''''''''''' '''' ''''''''' '''''''''''''''''''''' ''' ''''''''''''''''''' '''''''''''' ''''''''''' '''''' ''''''''' '''''''''''''''' ''''''''''''''''' '''''''''''''''''''''''''''' </w:t>
      </w:r>
    </w:p>
    <w:p w:rsidR="002D34C4" w:rsidRPr="00425586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Faktura musí mít náležitosti daňového dokladu podle příslušných ustanovení zákona </w:t>
      </w:r>
      <w:r w:rsidR="006B5BEF">
        <w:rPr>
          <w:rFonts w:ascii="Calibri" w:eastAsia="Times New Roman" w:hAnsi="Calibri" w:cs="Times New Roman"/>
          <w:lang w:eastAsia="cs-CZ"/>
        </w:rPr>
        <w:t xml:space="preserve">                         </w:t>
      </w:r>
      <w:r w:rsidRPr="002D34C4">
        <w:rPr>
          <w:rFonts w:ascii="Calibri" w:eastAsia="Times New Roman" w:hAnsi="Calibri" w:cs="Times New Roman"/>
          <w:lang w:eastAsia="cs-CZ"/>
        </w:rPr>
        <w:t xml:space="preserve">č. 235/2004 Sb., zákona o DPH, v platném znění.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si vyhrazuje právo vrátit bez zaplacení fakturu, která neobsahuje všechny náležitosti, uvedené v  bodu 3. tohoto článku. Vrácením faktury přestane běžet původní lhůta splatnosti. Po opravě faktury povinným běží nová lhůta splatnosti 21 dní ode dne doručení opravené nebo nově vyhotovené faktury.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a oprávněný se dohodli, že v případě, kdy povinný ke dni uskutečnění zdanitelného plnění nebude mít zveřejněn účet dle příslušných ustanovení zák. č. 235/2004 Sb., o DPH, na který má být zaplacena úhrada za zřízení VB, bude tato platba provedena tak, že částku, představující DPH, zaplatí oprávněný přímo na účet správce daně povinného. </w:t>
      </w:r>
    </w:p>
    <w:p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a oprávněný se dohodli, že v 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Finanční výdaje, spojené s podáním návrhu na vklad práva dle této smlouvy do katastru nemovitostí a náklady, spojené s vyhotovením geometrického plánu nese </w:t>
      </w:r>
      <w:r w:rsidRPr="002D34C4">
        <w:rPr>
          <w:rFonts w:ascii="Calibri" w:eastAsia="Times New Roman" w:hAnsi="Calibri" w:cs="Times New Roman"/>
          <w:szCs w:val="24"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Doba trvání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B5BEF" w:rsidRPr="00DC57B1" w:rsidRDefault="002D34C4" w:rsidP="00DC57B1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břemeno, zřízené touto smlouvou, se sjednává jako časově neomezené a zaniká v případech, stanovených zákonem.</w:t>
      </w:r>
    </w:p>
    <w:p w:rsidR="006B5BEF" w:rsidRPr="002D34C4" w:rsidRDefault="006B5BEF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Ostatní ujednání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Povinný výslovně souhlasí, aby oprávněný a jeho případní smluvní partneři v době do povolení vkladu věcného břemene dle této smlouvy do katastru nemovitostí Pozem</w:t>
      </w:r>
      <w:r w:rsidR="00DC57B1">
        <w:rPr>
          <w:rFonts w:ascii="Calibri" w:eastAsia="Times New Roman" w:hAnsi="Calibri" w:cs="Times New Roman"/>
          <w:lang w:eastAsia="cs-CZ"/>
        </w:rPr>
        <w:t>ky</w:t>
      </w:r>
      <w:r w:rsidRPr="002D34C4">
        <w:rPr>
          <w:rFonts w:ascii="Calibri" w:eastAsia="Times New Roman" w:hAnsi="Calibri" w:cs="Times New Roman"/>
          <w:lang w:eastAsia="cs-CZ"/>
        </w:rPr>
        <w:t xml:space="preserve"> užíval za účelem zajištění bezpečného provozu, údržby, oprav a stavebních úprav plynárenského zařízení.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lastRenderedPageBreak/>
        <w:t>Oprávněný má ve vztahu k Pozemk</w:t>
      </w:r>
      <w:r w:rsidR="00DC57B1">
        <w:rPr>
          <w:rFonts w:ascii="Calibri" w:eastAsia="Times New Roman" w:hAnsi="Calibri" w:cs="Times New Roman"/>
          <w:lang w:eastAsia="cs-CZ"/>
        </w:rPr>
        <w:t>ům</w:t>
      </w:r>
      <w:r w:rsidRPr="002D34C4">
        <w:rPr>
          <w:rFonts w:ascii="Calibri" w:eastAsia="Times New Roman" w:hAnsi="Calibri" w:cs="Times New Roman"/>
          <w:lang w:eastAsia="cs-CZ"/>
        </w:rPr>
        <w:t xml:space="preserve"> dále oprávnění, která mu, jako PDS, vznikem věcného břemene dle této smlouvy přísluší především z ustanovení § 59 odst. 1 písm. f) a g) energetického zákona: </w:t>
      </w:r>
    </w:p>
    <w:p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vstupovat a vjíždět na </w:t>
      </w:r>
      <w:r w:rsidR="00DC57B1">
        <w:rPr>
          <w:rFonts w:ascii="Calibri" w:eastAsia="Times New Roman" w:hAnsi="Calibri" w:cs="Times New Roman"/>
          <w:lang w:eastAsia="cs-CZ"/>
        </w:rPr>
        <w:t>Pozemky</w:t>
      </w:r>
      <w:r w:rsidRPr="002D34C4">
        <w:rPr>
          <w:rFonts w:ascii="Calibri" w:eastAsia="Times New Roman" w:hAnsi="Calibri" w:cs="Times New Roman"/>
          <w:lang w:eastAsia="cs-CZ"/>
        </w:rPr>
        <w:t xml:space="preserve"> v souvislosti s realizací práv, vyplývajících z věcného břemene;</w:t>
      </w:r>
    </w:p>
    <w:p w:rsidR="002D34C4" w:rsidRPr="00425586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odstraňovat a oklešťovat na Pozem</w:t>
      </w:r>
      <w:r w:rsidR="00DC57B1">
        <w:rPr>
          <w:rFonts w:ascii="Calibri" w:eastAsia="Times New Roman" w:hAnsi="Calibri" w:cs="Times New Roman"/>
          <w:lang w:eastAsia="cs-CZ"/>
        </w:rPr>
        <w:t>cích</w:t>
      </w:r>
      <w:r w:rsidRPr="002D34C4">
        <w:rPr>
          <w:rFonts w:ascii="Calibri" w:eastAsia="Times New Roman" w:hAnsi="Calibri" w:cs="Times New Roman"/>
          <w:lang w:eastAsia="cs-CZ"/>
        </w:rPr>
        <w:t xml:space="preserve"> stromoví a jiné porosty, provádět likvidaci odstraněného </w:t>
      </w:r>
      <w:r w:rsidR="00425586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 '''''''''''''''''''''' ''''''''''''''' ''' ''''''''''' ''''''''''''''' ''''''''''''''''''''' ''''''''''''''''''' ''' ''''''''''''''''' ''''''''''''''''''''''''' '''''''''''''''''''''''''''' ''''''''''''' ''' ''''''''''''''''''' ''''''' '''''' ''''' '''''''''''''''''''''''' ''''''''''''''''''''''' '' '''''''''''''''''' '''''''''''''' ''''''''''''''' '''''''' ''''''''''''''''</w:t>
      </w:r>
    </w:p>
    <w:p w:rsidR="002D34C4" w:rsidRPr="00425586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425586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 '''' '''''''''''''''' '''''' ''''''''''''' '''''''''' '''''' ''''''''' '''''''''''''''' '''''''''''''''''''' '''''' ''''''''''''''''''' '''''''''''''''''''' ''''''''''''''''''''''''''' '''''''''''''' ''' '''' '''''''''''' '''''''''' '''''''''''' ''''''''''''''''''''''' ''''' ''''''''''''''''' '''''''''' '''' '''''''''''''''''''' ''''''''''''''' '''''''''' ''''''''' '''''''''''''''''' '''''' ''''''''''''''''''''''''''</w:t>
      </w:r>
      <w:r w:rsidR="002D34C4" w:rsidRPr="002D34C4">
        <w:rPr>
          <w:rFonts w:ascii="Calibri" w:eastAsia="Times New Roman" w:hAnsi="Calibri" w:cs="Times New Roman"/>
          <w:lang w:eastAsia="cs-CZ"/>
        </w:rPr>
        <w:t xml:space="preserve"> stavu a není-li to možné s ohledem na povahu provedených prací, do stavu odpovídajícího předchozímu účelu či užívání nemovitosti a bezprostředně oznámit tuto skutečnost povinnému.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Jednat ve věcech, souvisejících s výkonem práv podle této smlouvy, je za stranu povinnou oprávněn tel. č.: </w:t>
      </w:r>
      <w:r w:rsidR="008C1392">
        <w:rPr>
          <w:rFonts w:ascii="Calibri" w:eastAsia="Times New Roman" w:hAnsi="Calibri" w:cs="Times New Roman"/>
          <w:lang w:eastAsia="cs-CZ"/>
        </w:rPr>
        <w:t>251 510 966.</w:t>
      </w:r>
      <w:r w:rsidR="008C1392" w:rsidRPr="002D34C4">
        <w:rPr>
          <w:rFonts w:ascii="Calibri" w:eastAsia="Times New Roman" w:hAnsi="Calibri" w:cs="Times New Roman"/>
          <w:lang w:eastAsia="cs-CZ"/>
        </w:rPr>
        <w:t xml:space="preserve"> </w:t>
      </w:r>
      <w:r w:rsidRPr="002D34C4">
        <w:rPr>
          <w:rFonts w:ascii="Calibri" w:eastAsia="Times New Roman" w:hAnsi="Calibri" w:cs="Times New Roman"/>
          <w:lang w:eastAsia="cs-CZ"/>
        </w:rPr>
        <w:t>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267 175 650.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Závěrečná ustanovení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Podpisem této smlouvy povinný, jako subjekt údajů, potvrzuje, že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Povinný, jako subjekt údajů, prohlašuje, že si je vědom všech svých 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prohlašují, že smlouva představuje úplnou dohodu o veškerých jejích náležitostech a neexistují náležitosti, které by smluvní strany neujednaly.</w:t>
      </w: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Tato smlouva je vyhotovena </w:t>
      </w:r>
      <w:r w:rsidR="00DC57B1">
        <w:rPr>
          <w:rFonts w:ascii="Calibri" w:eastAsia="Times New Roman" w:hAnsi="Calibri" w:cs="Times New Roman"/>
          <w:lang w:eastAsia="cs-CZ"/>
        </w:rPr>
        <w:t>ve třech</w:t>
      </w:r>
      <w:r w:rsidRPr="002D34C4">
        <w:rPr>
          <w:rFonts w:ascii="Calibri" w:eastAsia="Times New Roman" w:hAnsi="Calibri" w:cs="Times New Roman"/>
          <w:lang w:eastAsia="cs-CZ"/>
        </w:rP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se dohodly, že návrh na vklad práva odpovídajícího věcnému břemeni dle této smlouvy do katastru nemovitostí bude předložen Katastrálnímu úřadu pro </w:t>
      </w:r>
      <w:r w:rsidR="00DC57B1">
        <w:rPr>
          <w:rFonts w:ascii="Calibri" w:eastAsia="Times New Roman" w:hAnsi="Calibri" w:cs="Times New Roman"/>
          <w:lang w:eastAsia="cs-CZ"/>
        </w:rPr>
        <w:t>hlavní město Prahu</w:t>
      </w:r>
      <w:r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DC57B1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 xml:space="preserve"> prostřednictvím oprávněného.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:rsidR="002D34C4" w:rsidRPr="002D34C4" w:rsidRDefault="002D34C4" w:rsidP="002D34C4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Tato smlouva nabývá platnosti a účinnosti dnem jejího podpisu oběma smluvními stranami, přičemž rozhodující je datum podpisu poslední smluvní strany. 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může být měněna nebo doplňována pouze formou vzestupně číslovaných písemných dodatků, podepsaných oběma smluvními stranami.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a právní vztahy z ní vyplývající se řídí právním řádem České republiky.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Na právní vztahy, vyplývající nebo související s touto smlouvou a v ní nebo v energetickém zákoně výslovně neupravené se přiměřeně uplatní ustanovení Občanského zákoníku.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 xml:space="preserve">Přílohy: </w:t>
      </w:r>
      <w:r w:rsidRPr="002D34C4">
        <w:rPr>
          <w:rFonts w:ascii="Calibri" w:eastAsia="Times New Roman" w:hAnsi="Calibri" w:cs="Times New Roman"/>
          <w:b/>
          <w:lang w:eastAsia="cs-CZ"/>
        </w:rPr>
        <w:tab/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č. 1 - Geometrický plán č. </w:t>
      </w:r>
      <w:r w:rsidR="00DC57B1">
        <w:rPr>
          <w:rFonts w:ascii="Calibri" w:eastAsia="Times New Roman" w:hAnsi="Calibri" w:cs="Times New Roman"/>
          <w:lang w:eastAsia="cs-CZ"/>
        </w:rPr>
        <w:t>3190-5/2017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V ……………………. dne …………………….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V Praze dne …………………….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2D34C4">
              <w:rPr>
                <w:rFonts w:ascii="Calibri" w:eastAsia="Calibri" w:hAnsi="Calibri" w:cs="Times New Roman"/>
                <w:u w:val="single"/>
              </w:rPr>
              <w:t>Povinný: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2D34C4">
              <w:rPr>
                <w:rFonts w:ascii="Calibri" w:eastAsia="Calibri" w:hAnsi="Calibri" w:cs="Times New Roman"/>
                <w:u w:val="single"/>
              </w:rPr>
              <w:t>Oprávněný: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070BEC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CWI DELTA s.r.o.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Pražská plynárenská Distribuce, a.s.,</w:t>
            </w:r>
            <w:r w:rsidRPr="002D34C4">
              <w:rPr>
                <w:rFonts w:ascii="Calibri" w:eastAsia="Calibri" w:hAnsi="Calibri" w:cs="Times New Roman"/>
              </w:rPr>
              <w:tab/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člen koncernu Pražská plynárenská, a.s.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070BEC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Ing. Radek Menšík</w:t>
            </w:r>
          </w:p>
        </w:tc>
        <w:tc>
          <w:tcPr>
            <w:tcW w:w="4606" w:type="dxa"/>
          </w:tcPr>
          <w:p w:rsidR="002D34C4" w:rsidRPr="002D34C4" w:rsidRDefault="00DC57B1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Mgr. Jana Hyklová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070BEC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jednatel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na základě pověření</w:t>
            </w:r>
          </w:p>
        </w:tc>
      </w:tr>
    </w:tbl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866A0B" w:rsidRPr="002D34C4" w:rsidRDefault="00866A0B">
      <w:pPr>
        <w:rPr>
          <w:b/>
        </w:rPr>
      </w:pPr>
    </w:p>
    <w:sectPr w:rsidR="00866A0B" w:rsidRPr="002D34C4" w:rsidSect="002D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0D" w:rsidRDefault="0001650D">
      <w:pPr>
        <w:spacing w:after="0" w:line="240" w:lineRule="auto"/>
      </w:pPr>
      <w:r>
        <w:separator/>
      </w:r>
    </w:p>
  </w:endnote>
  <w:endnote w:type="continuationSeparator" w:id="0">
    <w:p w:rsidR="0001650D" w:rsidRDefault="000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86" w:rsidRDefault="004255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34" w:rsidRPr="00425586" w:rsidRDefault="0001650D" w:rsidP="004255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86" w:rsidRDefault="004255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0D" w:rsidRDefault="0001650D">
      <w:pPr>
        <w:spacing w:after="0" w:line="240" w:lineRule="auto"/>
      </w:pPr>
      <w:r>
        <w:separator/>
      </w:r>
    </w:p>
  </w:footnote>
  <w:footnote w:type="continuationSeparator" w:id="0">
    <w:p w:rsidR="0001650D" w:rsidRDefault="000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86" w:rsidRDefault="004255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86" w:rsidRDefault="004255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86" w:rsidRDefault="004255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4D8"/>
    <w:multiLevelType w:val="hybridMultilevel"/>
    <w:tmpl w:val="00E6B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C4"/>
    <w:rsid w:val="0001650D"/>
    <w:rsid w:val="00046638"/>
    <w:rsid w:val="00057821"/>
    <w:rsid w:val="00070BEC"/>
    <w:rsid w:val="000D25B0"/>
    <w:rsid w:val="000F7B8F"/>
    <w:rsid w:val="001D4D3D"/>
    <w:rsid w:val="001D673A"/>
    <w:rsid w:val="002D34C4"/>
    <w:rsid w:val="003F69F9"/>
    <w:rsid w:val="004052C6"/>
    <w:rsid w:val="00425586"/>
    <w:rsid w:val="00431FEE"/>
    <w:rsid w:val="004805FD"/>
    <w:rsid w:val="0050655A"/>
    <w:rsid w:val="006B5BEF"/>
    <w:rsid w:val="0078248D"/>
    <w:rsid w:val="00866A0B"/>
    <w:rsid w:val="008915D1"/>
    <w:rsid w:val="008C1392"/>
    <w:rsid w:val="0095068E"/>
    <w:rsid w:val="00961856"/>
    <w:rsid w:val="00966A0E"/>
    <w:rsid w:val="0097456B"/>
    <w:rsid w:val="00AC2642"/>
    <w:rsid w:val="00B50E23"/>
    <w:rsid w:val="00BF1B28"/>
    <w:rsid w:val="00C11610"/>
    <w:rsid w:val="00DC57B1"/>
    <w:rsid w:val="00DC7FAA"/>
    <w:rsid w:val="00F45C40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F1B28"/>
  </w:style>
  <w:style w:type="paragraph" w:styleId="Textbubliny">
    <w:name w:val="Balloon Text"/>
    <w:basedOn w:val="Normln"/>
    <w:link w:val="TextbublinyChar"/>
    <w:uiPriority w:val="99"/>
    <w:semiHidden/>
    <w:unhideWhenUsed/>
    <w:rsid w:val="001D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7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F1B28"/>
  </w:style>
  <w:style w:type="paragraph" w:styleId="Textbubliny">
    <w:name w:val="Balloon Text"/>
    <w:basedOn w:val="Normln"/>
    <w:link w:val="TextbublinyChar"/>
    <w:uiPriority w:val="99"/>
    <w:semiHidden/>
    <w:unhideWhenUsed/>
    <w:rsid w:val="001D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7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2017-06-29T10:57:00Z</dcterms:created>
  <dcterms:modified xsi:type="dcterms:W3CDTF">2017-06-29T10:59:00Z</dcterms:modified>
</cp:coreProperties>
</file>