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F5E" w:rsidRDefault="00922F5E" w:rsidP="00922F5E">
      <w:r w:rsidRPr="007F7E57">
        <w:t>Dokument má dle [ZARCH] § 2 písm. e) formu analogovou</w:t>
      </w:r>
      <w:r>
        <w:t xml:space="preserve"> (listinnou) </w:t>
      </w:r>
      <w:r w:rsidRPr="00A47920">
        <w:t>nebo digitální</w:t>
      </w:r>
      <w:r w:rsidRPr="003552DC">
        <w:t xml:space="preserve">. </w:t>
      </w:r>
      <w:r>
        <w:t>Tyto formy mají dokumenty vlastní i doručené a pro jejich budoucí uchování platí následující zásady [IL, Částka 5/2019, č. 15/2019], které zaměstnanci často při zpracování dokumentu nedodržují.</w:t>
      </w:r>
      <w:r w:rsidRPr="003552DC">
        <w:t xml:space="preserve"> </w:t>
      </w:r>
    </w:p>
    <w:p w:rsidR="00922F5E" w:rsidRPr="008E6710" w:rsidRDefault="00922F5E" w:rsidP="00922F5E">
      <w:pPr>
        <w:rPr>
          <w:b/>
        </w:rPr>
      </w:pPr>
      <w:r w:rsidRPr="008E6710">
        <w:rPr>
          <w:b/>
        </w:rPr>
        <w:t>Doručené dokumenty:</w:t>
      </w:r>
    </w:p>
    <w:p w:rsidR="00922F5E" w:rsidRDefault="00922F5E" w:rsidP="00922F5E">
      <w:pPr>
        <w:pStyle w:val="Odstavecseseznamem"/>
        <w:numPr>
          <w:ilvl w:val="0"/>
          <w:numId w:val="2"/>
        </w:numPr>
        <w:jc w:val="both"/>
      </w:pPr>
      <w:r>
        <w:t xml:space="preserve">Formu </w:t>
      </w:r>
      <w:r w:rsidRPr="00B74820">
        <w:rPr>
          <w:b/>
        </w:rPr>
        <w:t>doručeného dokumentu v digitální podobě</w:t>
      </w:r>
      <w:r>
        <w:t xml:space="preserve"> nelze měnit. Ani převod autorizovanou konverzí nemá vliv na formu dokumentu. </w:t>
      </w:r>
      <w:r w:rsidRPr="00B74820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Dokument doručený e-mailem, datovou schránkou nebo na technickém nosiči </w:t>
      </w:r>
      <w:r w:rsidRPr="003F5DB2">
        <w:rPr>
          <w:rFonts w:ascii="Segoe UI" w:hAnsi="Segoe UI" w:cs="Segoe UI"/>
          <w:b/>
          <w:color w:val="212529"/>
          <w:sz w:val="23"/>
          <w:szCs w:val="23"/>
          <w:shd w:val="clear" w:color="auto" w:fill="FFFFFF"/>
        </w:rPr>
        <w:t>je vždy digitální</w:t>
      </w:r>
      <w:r w:rsidRPr="00B74820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.</w:t>
      </w:r>
    </w:p>
    <w:p w:rsidR="00922F5E" w:rsidRDefault="00922F5E" w:rsidP="00922F5E">
      <w:pPr>
        <w:pStyle w:val="Odstavecseseznamem"/>
        <w:numPr>
          <w:ilvl w:val="0"/>
          <w:numId w:val="2"/>
        </w:numPr>
        <w:jc w:val="both"/>
      </w:pPr>
      <w:r>
        <w:t xml:space="preserve">Formu </w:t>
      </w:r>
      <w:r w:rsidRPr="00B74820">
        <w:rPr>
          <w:b/>
        </w:rPr>
        <w:t>doručeného dokumentu v analogové podobě</w:t>
      </w:r>
    </w:p>
    <w:p w:rsidR="00922F5E" w:rsidRDefault="00922F5E" w:rsidP="00922F5E">
      <w:pPr>
        <w:pStyle w:val="Odstavecseseznamem"/>
        <w:numPr>
          <w:ilvl w:val="1"/>
          <w:numId w:val="2"/>
        </w:numPr>
        <w:jc w:val="both"/>
      </w:pPr>
      <w:r>
        <w:t xml:space="preserve">Lze změnit provedením autorizované konverze na </w:t>
      </w:r>
      <w:r w:rsidRPr="00730D5E">
        <w:rPr>
          <w:b/>
        </w:rPr>
        <w:t>formu digitální</w:t>
      </w:r>
    </w:p>
    <w:p w:rsidR="00922F5E" w:rsidRDefault="00922F5E" w:rsidP="00922F5E">
      <w:pPr>
        <w:pStyle w:val="Odstavecseseznamem"/>
        <w:numPr>
          <w:ilvl w:val="1"/>
          <w:numId w:val="2"/>
        </w:numPr>
        <w:jc w:val="both"/>
      </w:pPr>
      <w:r>
        <w:t xml:space="preserve">Převodem 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podle § </w:t>
      </w:r>
      <w:proofErr w:type="gramStart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69a</w:t>
      </w:r>
      <w:proofErr w:type="gramEnd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</w:t>
      </w:r>
      <w:r>
        <w:t xml:space="preserve">[ZARCH] nelze změnit formu dokumentu, zůstává </w:t>
      </w:r>
      <w:r w:rsidRPr="003F5DB2">
        <w:rPr>
          <w:b/>
        </w:rPr>
        <w:t>analogová</w:t>
      </w:r>
      <w:r>
        <w:t>.</w:t>
      </w:r>
    </w:p>
    <w:p w:rsidR="00922F5E" w:rsidRDefault="00922F5E" w:rsidP="00922F5E">
      <w:pPr>
        <w:pStyle w:val="Odstavecseseznamem"/>
        <w:numPr>
          <w:ilvl w:val="1"/>
          <w:numId w:val="2"/>
        </w:numPr>
        <w:jc w:val="both"/>
      </w:pPr>
      <w:r>
        <w:t xml:space="preserve">Provedením prostého </w:t>
      </w:r>
      <w:proofErr w:type="spellStart"/>
      <w:r>
        <w:t>skenu</w:t>
      </w:r>
      <w:proofErr w:type="spellEnd"/>
      <w:r>
        <w:t xml:space="preserve"> zůstává analogové podobě forma </w:t>
      </w:r>
      <w:r w:rsidRPr="003F5DB2">
        <w:rPr>
          <w:b/>
        </w:rPr>
        <w:t>analogová</w:t>
      </w:r>
      <w:r>
        <w:t>.</w:t>
      </w:r>
    </w:p>
    <w:p w:rsidR="00922F5E" w:rsidRDefault="00922F5E" w:rsidP="00922F5E">
      <w:pPr>
        <w:pStyle w:val="Odstavecseseznamem"/>
        <w:numPr>
          <w:ilvl w:val="0"/>
          <w:numId w:val="2"/>
        </w:numPr>
        <w:jc w:val="both"/>
      </w:pPr>
      <w:r>
        <w:t>Doručený dokument obsahuje průvodní dopis v </w:t>
      </w:r>
      <w:r w:rsidRPr="003F5DB2">
        <w:rPr>
          <w:b/>
        </w:rPr>
        <w:t>analogové podobě a technický nosič dat</w:t>
      </w:r>
      <w:r>
        <w:t>. Referent je povinen digitální dokumenty z nosiče dat (</w:t>
      </w:r>
      <w:proofErr w:type="spellStart"/>
      <w:r>
        <w:t>flash</w:t>
      </w:r>
      <w:proofErr w:type="spellEnd"/>
      <w:r>
        <w:t xml:space="preserve"> disk, </w:t>
      </w:r>
      <w:proofErr w:type="gramStart"/>
      <w:r>
        <w:t>CD..</w:t>
      </w:r>
      <w:proofErr w:type="gramEnd"/>
      <w:r>
        <w:t xml:space="preserve">) vložit do ESS a průvodní dopis autorizovanou konverzí převést do digitální podoby, potom v ESS bude dokument ve formě </w:t>
      </w:r>
      <w:r w:rsidRPr="0065778B">
        <w:rPr>
          <w:b/>
        </w:rPr>
        <w:t>digitální</w:t>
      </w:r>
      <w:r>
        <w:t xml:space="preserve">. Pokud nebude průvodní dopis převeden autorizovanou konverzí do digitální podoby, zůstane dokument v ESS ve </w:t>
      </w:r>
      <w:r w:rsidRPr="00CF7056">
        <w:rPr>
          <w:b/>
        </w:rPr>
        <w:t>formě analogové</w:t>
      </w:r>
      <w:r>
        <w:t>.</w:t>
      </w:r>
    </w:p>
    <w:p w:rsidR="00922F5E" w:rsidRDefault="00922F5E" w:rsidP="00922F5E">
      <w:pPr>
        <w:pStyle w:val="Odstavecseseznamem"/>
        <w:numPr>
          <w:ilvl w:val="0"/>
          <w:numId w:val="0"/>
        </w:numPr>
        <w:ind w:left="1440"/>
      </w:pPr>
      <w:bookmarkStart w:id="0" w:name="_GoBack"/>
      <w:bookmarkEnd w:id="0"/>
    </w:p>
    <w:p w:rsidR="00922F5E" w:rsidRPr="008E6710" w:rsidRDefault="00922F5E" w:rsidP="00922F5E">
      <w:pPr>
        <w:rPr>
          <w:b/>
        </w:rPr>
      </w:pPr>
      <w:r w:rsidRPr="008E6710">
        <w:rPr>
          <w:b/>
        </w:rPr>
        <w:t>Vlastní dokumenty:</w:t>
      </w:r>
    </w:p>
    <w:p w:rsidR="00922F5E" w:rsidRDefault="00922F5E" w:rsidP="00922F5E">
      <w:pPr>
        <w:pStyle w:val="Odstavecseseznamem"/>
        <w:numPr>
          <w:ilvl w:val="0"/>
          <w:numId w:val="2"/>
        </w:numPr>
        <w:jc w:val="both"/>
      </w:pPr>
      <w:r>
        <w:t xml:space="preserve">Odeslaný </w:t>
      </w:r>
      <w:r w:rsidRPr="008E6710">
        <w:rPr>
          <w:b/>
        </w:rPr>
        <w:t>vlastní dokument v digitální</w:t>
      </w:r>
      <w:r>
        <w:t xml:space="preserve"> podobě </w:t>
      </w:r>
      <w:r w:rsidRPr="008E6710">
        <w:t>musí být ztvárněn zejména do výstupního datového formátu a opatřen autentizačními prvky </w:t>
      </w:r>
    </w:p>
    <w:p w:rsidR="00922F5E" w:rsidRDefault="00922F5E" w:rsidP="00922F5E">
      <w:pPr>
        <w:pStyle w:val="Odstavecseseznamem"/>
        <w:numPr>
          <w:ilvl w:val="0"/>
          <w:numId w:val="2"/>
        </w:numPr>
        <w:jc w:val="both"/>
      </w:pPr>
      <w:r>
        <w:t xml:space="preserve">ZČU </w:t>
      </w:r>
      <w:r w:rsidRPr="003F5DB2">
        <w:t>jako OVM vyhotoví</w:t>
      </w:r>
      <w:r>
        <w:t xml:space="preserve"> dokument pouze </w:t>
      </w:r>
      <w:r w:rsidRPr="003F5DB2">
        <w:rPr>
          <w:b/>
        </w:rPr>
        <w:t>ve formě digitální</w:t>
      </w:r>
      <w:r>
        <w:t xml:space="preserve"> s příslušnými autentizačními prvky a do listinné podoby pro adresáta provede autorizovanou konverzí dokumentu. V ESS zůstává dokument ve formě </w:t>
      </w:r>
      <w:r w:rsidRPr="00190014">
        <w:rPr>
          <w:b/>
        </w:rPr>
        <w:t>digitální.</w:t>
      </w:r>
      <w:r w:rsidRPr="00AF3394">
        <w:t xml:space="preserve"> </w:t>
      </w:r>
    </w:p>
    <w:p w:rsidR="00922F5E" w:rsidRDefault="00922F5E" w:rsidP="00922F5E">
      <w:pPr>
        <w:pStyle w:val="Odstavecseseznamem"/>
        <w:numPr>
          <w:ilvl w:val="0"/>
          <w:numId w:val="2"/>
        </w:numPr>
        <w:jc w:val="both"/>
      </w:pPr>
      <w:r w:rsidRPr="003F5DB2">
        <w:rPr>
          <w:b/>
        </w:rPr>
        <w:t>Digitální dokument</w:t>
      </w:r>
      <w:r w:rsidRPr="00D707E0">
        <w:t xml:space="preserve">, který </w:t>
      </w:r>
      <w:r>
        <w:t>je třeba odeslat</w:t>
      </w:r>
      <w:r w:rsidRPr="00D707E0">
        <w:t xml:space="preserve"> v listinné </w:t>
      </w:r>
      <w:r>
        <w:t xml:space="preserve">i digitální </w:t>
      </w:r>
      <w:r w:rsidRPr="00D707E0">
        <w:t xml:space="preserve">podobě, je </w:t>
      </w:r>
      <w:r>
        <w:t xml:space="preserve">z ESS </w:t>
      </w:r>
      <w:r w:rsidRPr="00D707E0">
        <w:t>vytištěn a v listinné i v digitální podobě opatřen příslušnými autentizačními prvky</w:t>
      </w:r>
      <w:r>
        <w:t xml:space="preserve">, v ESS zůstává forma </w:t>
      </w:r>
      <w:r w:rsidRPr="00D707E0">
        <w:rPr>
          <w:b/>
        </w:rPr>
        <w:t>digitální</w:t>
      </w:r>
      <w:r>
        <w:t xml:space="preserve">. V případě, že autentizační prvky jsou připojeny pouze k listinné podobě dokumentu, tak v ESS je forma dokumentu </w:t>
      </w:r>
      <w:r w:rsidRPr="00730D5E">
        <w:rPr>
          <w:b/>
        </w:rPr>
        <w:t>analogová</w:t>
      </w:r>
      <w:r>
        <w:t xml:space="preserve"> za podmínky, že dokument je zařazený do spisu, který obsahuje většinově dokumenty v analogové formě. Potom je </w:t>
      </w:r>
      <w:r w:rsidRPr="00DC5DD5">
        <w:t>třeba ponechat stejnopis v listinné podobě a do ESS zařadit koncept</w:t>
      </w:r>
    </w:p>
    <w:p w:rsidR="00C8123E" w:rsidRPr="00922F5E" w:rsidRDefault="00922F5E" w:rsidP="00922F5E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F6EA3">
        <w:rPr>
          <w:b/>
        </w:rPr>
        <w:t>„Zamítnutý (neschválený)“ rozpracovaný dokument</w:t>
      </w:r>
      <w:r w:rsidRPr="00922F5E">
        <w:rPr>
          <w:b/>
        </w:rPr>
        <w:t xml:space="preserve"> </w:t>
      </w:r>
      <w:r w:rsidRPr="00922F5E">
        <w:t>(koncept) musí být ztvárněn jako dokument, tedy převeden do výstupního datového formátu, popř. opatřen autentizačními prvky. Forma dokumentu zůstává</w:t>
      </w:r>
      <w:r w:rsidRPr="00922F5E">
        <w:rPr>
          <w:b/>
        </w:rPr>
        <w:t xml:space="preserve"> </w:t>
      </w:r>
      <w:r w:rsidRPr="00CF7F93">
        <w:rPr>
          <w:b/>
        </w:rPr>
        <w:t>digitální</w:t>
      </w:r>
      <w:r w:rsidRPr="00922F5E">
        <w:rPr>
          <w:b/>
        </w:rPr>
        <w:t>“.</w:t>
      </w:r>
    </w:p>
    <w:sectPr w:rsidR="00C8123E" w:rsidRPr="00922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56070"/>
    <w:multiLevelType w:val="hybridMultilevel"/>
    <w:tmpl w:val="DA9E6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196C"/>
    <w:multiLevelType w:val="hybridMultilevel"/>
    <w:tmpl w:val="64B25AD0"/>
    <w:lvl w:ilvl="0" w:tplc="4D74D9C4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5E"/>
    <w:rsid w:val="00216438"/>
    <w:rsid w:val="00922F5E"/>
    <w:rsid w:val="00B019BA"/>
    <w:rsid w:val="00C8123E"/>
    <w:rsid w:val="00F6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3A14B-9038-4753-BBE8-6CD77899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2F5E"/>
    <w:pPr>
      <w:spacing w:before="120" w:after="0" w:line="264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autoRedefine/>
    <w:qFormat/>
    <w:rsid w:val="00216438"/>
    <w:rPr>
      <w:bCs/>
      <w:sz w:val="18"/>
      <w:szCs w:val="20"/>
    </w:rPr>
  </w:style>
  <w:style w:type="paragraph" w:styleId="Odstavecseseznamem">
    <w:name w:val="List Paragraph"/>
    <w:aliases w:val="Conclusion de partie,Odsazení 1,Odstavec se seznamem a odrážkou,1 úroveň Odstavec se seznamem,List Paragraph (Czech Tourism),Odstavec,cp_Odstavec se seznamem,Bullet Number,Bullet List,FooterText,numbered,Paragraphe de liste1,列出段落"/>
    <w:basedOn w:val="Normln"/>
    <w:link w:val="OdstavecseseznamemChar"/>
    <w:uiPriority w:val="34"/>
    <w:qFormat/>
    <w:rsid w:val="00922F5E"/>
    <w:pPr>
      <w:numPr>
        <w:numId w:val="1"/>
      </w:numPr>
      <w:spacing w:before="0" w:after="200" w:line="276" w:lineRule="auto"/>
      <w:contextualSpacing/>
      <w:jc w:val="left"/>
    </w:pPr>
    <w:rPr>
      <w:szCs w:val="20"/>
      <w:lang w:eastAsia="en-US"/>
    </w:rPr>
  </w:style>
  <w:style w:type="character" w:customStyle="1" w:styleId="OdstavecseseznamemChar">
    <w:name w:val="Odstavec se seznamem Char"/>
    <w:aliases w:val="Conclusion de partie Char,Odsazení 1 Char,Odstavec se seznamem a odrážkou Char,1 úroveň Odstavec se seznamem Char,List Paragraph (Czech Tourism) Char,Odstavec Char,cp_Odstavec se seznamem Char,Bullet Number Char,FooterText Char"/>
    <w:basedOn w:val="Standardnpsmoodstavce"/>
    <w:link w:val="Odstavecseseznamem"/>
    <w:uiPriority w:val="34"/>
    <w:qFormat/>
    <w:locked/>
    <w:rsid w:val="00922F5E"/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Emmerová Jindra</dc:creator>
  <cp:keywords/>
  <dc:description/>
  <cp:lastModifiedBy>Emmerová Jindra</cp:lastModifiedBy>
  <cp:revision>1</cp:revision>
  <dcterms:created xsi:type="dcterms:W3CDTF">2022-06-01T09:42:00Z</dcterms:created>
  <dcterms:modified xsi:type="dcterms:W3CDTF">2022-06-01T09:46:00Z</dcterms:modified>
</cp:coreProperties>
</file>