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bf8389694aa47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tbl>
      <w:tblPr>
        <w:tblStyle w:val="TableGrid"/>
        <w:tblW w:w="9270" w:type="dxa"/>
        <w:tblLayout w:type="fixed"/>
        <w:tblLook w:val="04A0"/>
        <w:jc w:val="center"/>
      </w:tblPr>
      <w:tblGrid>
        <w:gridCol w:w="1854"/>
        <w:gridCol w:w="5562"/>
        <w:gridCol w:w="1854"/>
      </w:tblGrid>
      <w:tr>
        <w:tc>
          <w:tcPr>
            <w:vMerge w:val="restart"/>
            <w:tcBorders>
              <w:bottom w:val="double" w:sz="2" w:space="1" w:color="FFFFFF"/>
              <w:top w:val="double" w:sz="2" w:space="1" w:color="FFFFFF"/>
              <w:left w:val="double" w:sz="2" w:space="1" w:color="FFFFFF"/>
              <w:right w:val="double" w:sz="2" w:space="1" w:color="FFFFFF"/>
            </w:tcBorders>
          </w:tcPr>
          <w:p>
            <w:r xmlns:w="http://schemas.openxmlformats.org/wordprocessingml/2006/main">
              <drawing xmlns="http://schemas.openxmlformats.org/wordprocessingml/2006/main">
                <wp:inline xmlns:wp="http://schemas.openxmlformats.org/drawingml/2006/wordprocessingDrawing" distT="0" distB="0" distL="0" distR="0">
                  <wp:extent cx="781132" cy="552508"/>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c1c4c287c14303"/>
                          <a:stretch>
                            <a:fillRect/>
                          </a:stretch>
                        </pic:blipFill>
                        <pic:spPr>
                          <a:xfrm>
                            <a:off x="0" y="0"/>
                            <a:ext cx="781132" cy="552508"/>
                          </a:xfrm>
                          <a:prstGeom prst="rect">
                            <a:avLst/>
                          </a:prstGeom>
                        </pic:spPr>
                      </pic:pic>
                    </a:graphicData>
                  </a:graphic>
                </wp:inline>
              </drawing>
            </w:r>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b/>
                <w:sz w:val="40"/>
                <w:szCs w:val="40"/>
              </w:rPr>
              <w:t>Objednávka 55/2022/INV</w:t>
            </w:r>
          </w:p>
        </w:tc>
        <w:tc>
          <w:tcPr>
            <w:tcBorders>
              <w:bottom w:val="double" w:sz="2" w:space="1" w:color="FFFFFF"/>
              <w:top w:val="double" w:sz="2" w:space="1" w:color="FFFFFF"/>
              <w:left w:val="double" w:sz="2" w:space="1" w:color="FFFFFF"/>
              <w:right w:val="double" w:sz="2" w:space="1" w:color="FFFFFF"/>
            </w:tcBorders>
          </w:tcPr>
          <w:p>
            <w:pPr/>
          </w:p>
        </w:tc>
      </w:tr>
      <w:tr>
        <w:tc>
          <w:tcPr>
            <w:vMerge/>
            <w:tcBorders>
              <w:bottom w:val="double" w:sz="2" w:space="1" w:color="FFFFFF"/>
              <w:top w:val="double" w:sz="2" w:space="1" w:color="FFFFFF"/>
              <w:left w:val="double" w:sz="2" w:space="1" w:color="FFFFFF"/>
              <w:right w:val="double" w:sz="2" w:space="1" w:color="FFFFFF"/>
            </w:tcBorders>
          </w:tcPr>
          <w:p>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sz w:val="24"/>
                <w:szCs w:val="24"/>
              </w:rPr>
              <w:t>(číslo objednávky uvádějte vždy na faktuře)</w:t>
            </w:r>
          </w:p>
        </w:tc>
        <w:tc>
          <w:tcPr>
            <w:tcBorders>
              <w:bottom w:val="double" w:sz="2" w:space="1" w:color="FFFFFF"/>
              <w:top w:val="double" w:sz="2" w:space="1" w:color="FFFFFF"/>
              <w:left w:val="double" w:sz="2" w:space="1" w:color="FFFFFF"/>
              <w:right w:val="double" w:sz="2" w:space="1" w:color="FFFFFF"/>
            </w:tcBorders>
          </w:tcPr>
          <w:p>
            <w:pPr/>
          </w:p>
        </w:tc>
      </w:tr>
    </w:tbl>
    <w:p>
      <w:pPr/>
    </w:p>
    <w:tbl>
      <w:tblPr>
        <w:tblStyle w:val="TableGrid"/>
        <w:tblW w:w="5000" w:type="pct"/>
        <w:tblLook w:val="04A0"/>
        <w:jc w:val="center"/>
      </w:tblPr>
      <w:tr>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Objednatel:</w:t>
            </w:r>
          </w:p>
        </w:tc>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Dodavatel:</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Město Jičín, Žižkovo nám. 18</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506 01 Jičín</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 xml:space="preserve"> 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IČO: 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 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11111111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Bankovní spojení: KB Jičín, č. ú. 524541/0100</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CZ00000000</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Odbor 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Kontakt: XXXXXXXXXXXXXX</w:t>
            </w:r>
          </w:p>
        </w:tc>
      </w:tr>
    </w:tbl>
    <w:p>
      <w:pPr/>
      <w:r>
        <w:rPr>
          <w:lang w:val="cs-CZ"/>
          <w:rFonts w:ascii="Calibri" w:hAnsi="Calibri" w:cs="Calibri"/>
          <w:b/>
          <w:sz w:val="24"/>
          <w:szCs w:val="24"/>
        </w:rPr>
        <w:t xml:space="preserve">Zastoupený: </w:t>
      </w:r>
      <w:r>
        <w:rPr>
          <w:lang w:val="cs-CZ"/>
          <w:rFonts w:ascii="Calibri" w:hAnsi="Calibri" w:cs="Calibri"/>
          <w:sz w:val="24"/>
          <w:szCs w:val="24"/>
        </w:rPr>
        <w:t xml:space="preserve"> XXXXXXXXXXXXXX</w:t>
      </w:r>
    </w:p>
    <w:p>
      <w:pPr/>
      <w:r>
        <w:rPr>
          <w:lang w:val="cs-CZ"/>
          <w:rFonts w:ascii="Calibri" w:hAnsi="Calibri" w:cs="Calibri"/>
          <w:sz w:val="24"/>
          <w:szCs w:val="24"/>
        </w:rPr>
        <w:t>Objednávka je zadána na základě přímého zadání</w:t>
      </w:r>
    </w:p>
    <w:p>
      <w:pPr>
        <w:pBdr>
          <w:bottom w:val="single" w:sz="6" w:space="1" w:color="auto"/>
        </w:pBdr>
      </w:pPr>
    </w:p>
    <w:p>
      <w:pPr/>
      <w:r>
        <w:rPr>
          <w:lang w:val="cs-CZ"/>
          <w:rFonts w:ascii="Calibri" w:hAnsi="Calibri" w:cs="Calibri"/>
          <w:b/>
          <w:sz w:val="24"/>
          <w:szCs w:val="24"/>
        </w:rPr>
        <w:t>Předmětem objednávky je provedení těchto stavebních/montážních prací:</w:t>
      </w:r>
    </w:p>
    <w:p>
      <w:pPr>
        <w:jc w:val="both"/>
      </w:pPr>
      <w:r>
        <w:rPr>
          <w:lang w:val="cs-CZ"/>
          <w:rFonts w:ascii="Calibri" w:hAnsi="Calibri" w:cs="Calibri"/>
          <w:sz w:val="24"/>
          <w:szCs w:val="24"/>
        </w:rPr>
        <w:t xml:space="preserve">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w:t>
      </w:r>
    </w:p>
    <w:p>
      <w:pPr>
        <w:pBdr>
          <w:bottom w:val="single" w:sz="6" w:space="1" w:color="auto"/>
        </w:pBdr>
      </w:pPr>
    </w:p>
    <w:p>
      <w:pPr/>
      <w:r>
        <w:rPr>
          <w:lang w:val="cs-CZ"/>
          <w:rFonts w:ascii="Calibri" w:hAnsi="Calibri" w:cs="Calibri"/>
          <w:sz w:val="24"/>
          <w:szCs w:val="24"/>
        </w:rPr>
        <w:t>Objednatel prohlašuje, že objednávka souvisí s jeho ekonomicko/hospodářskou činností.</w:t>
      </w:r>
    </w:p>
    <w:p>
      <w:pPr/>
    </w:p>
    <w:p>
      <w:pPr/>
      <w:r>
        <w:rPr>
          <w:lang w:val="cs-CZ"/>
          <w:rFonts w:ascii="Calibri" w:hAnsi="Calibri" w:cs="Calibri"/>
          <w:sz w:val="24"/>
          <w:szCs w:val="24"/>
        </w:rPr>
        <w:t>Na objednávku se nevztahuje režim přenesené daňové povinnosti dle § 92a z. 235/2004 Sb., o DPH.</w:t>
      </w:r>
    </w:p>
    <w:p>
      <w:pPr/>
    </w:p>
    <w:p>
      <w:pPr/>
      <w:r>
        <w:rPr>
          <w:lang w:val="cs-CZ"/>
          <w:rFonts w:ascii="Calibri" w:hAnsi="Calibri" w:cs="Calibri"/>
          <w:b/>
          <w:sz w:val="24"/>
          <w:szCs w:val="24"/>
        </w:rPr>
        <w:t xml:space="preserve">Sazba DPH: </w:t>
      </w:r>
      <w:r>
        <w:rPr>
          <w:lang w:val="cs-CZ"/>
          <w:rFonts w:ascii="Calibri" w:hAnsi="Calibri" w:cs="Calibri"/>
          <w:sz w:val="24"/>
          <w:szCs w:val="24"/>
        </w:rPr>
        <w:t>21%</w:t>
      </w:r>
    </w:p>
    <w:p>
      <w:pPr/>
      <w:r>
        <w:rPr>
          <w:lang w:val="cs-CZ"/>
          <w:rFonts w:ascii="Calibri" w:hAnsi="Calibri" w:cs="Calibri"/>
          <w:sz w:val="24"/>
          <w:szCs w:val="24"/>
        </w:rPr>
        <w:t>Práce nesouvisí s výstavbou stavby pro sociální bydlení.</w:t>
      </w:r>
    </w:p>
    <w:p>
      <w:pPr/>
    </w:p>
    <w:p>
      <w:pPr>
        <w:ind w:left="4560"/>
      </w:pPr>
      <w:r>
        <w:rPr>
          <w:lang w:val="cs-CZ"/>
          <w:rFonts w:ascii="Calibri" w:hAnsi="Calibri" w:cs="Calibri"/>
          <w:b/>
          <w:sz w:val="24"/>
          <w:szCs w:val="24"/>
        </w:rPr>
        <w:t>Cena bez DPH:    50001 Kč</w:t>
      </w:r>
    </w:p>
    <w:p>
      <w:pPr>
        <w:ind w:left="4560"/>
      </w:pPr>
      <w:r>
        <w:rPr>
          <w:lang w:val="cs-CZ"/>
          <w:rFonts w:ascii="Calibri" w:hAnsi="Calibri" w:cs="Calibri"/>
          <w:b/>
          <w:sz w:val="24"/>
          <w:szCs w:val="24"/>
        </w:rPr>
        <w:t>Výše DPH:        10500,21 Kč</w:t>
      </w:r>
    </w:p>
    <w:p>
      <w:pPr>
        <w:ind w:left="4560"/>
      </w:pPr>
      <w:r>
        <w:rPr>
          <w:lang w:val="cs-CZ"/>
          <w:rFonts w:ascii="Calibri" w:hAnsi="Calibri" w:cs="Calibri"/>
          <w:b/>
          <w:sz w:val="24"/>
          <w:szCs w:val="24"/>
        </w:rPr>
        <w:t>Cena včetně DPH: 60501,21 Kč</w:t>
      </w:r>
    </w:p>
    <w:p>
      <w:pPr>
        <w:ind w:left="3420"/>
      </w:pPr>
      <w:r>
        <w:rPr>
          <w:lang w:val="cs-CZ"/>
          <w:rFonts w:ascii="Calibri" w:hAnsi="Calibri" w:cs="Calibri"/>
          <w:sz w:val="24"/>
          <w:szCs w:val="24"/>
        </w:rPr>
        <w:t>Nejvyšší předpokládaná cena, bude fakturováno dle skutečnosti</w:t>
      </w:r>
    </w:p>
    <w:p>
      <w:pPr/>
      <w:r>
        <w:rPr>
          <w:lang w:val="cs-CZ"/>
          <w:rFonts w:ascii="Calibri" w:hAnsi="Calibri" w:cs="Calibri"/>
          <w:b/>
          <w:sz w:val="24"/>
          <w:szCs w:val="24"/>
        </w:rPr>
        <w:t xml:space="preserve">Platební podmínky: </w:t>
      </w:r>
      <w:r>
        <w:rPr>
          <w:lang w:val="cs-CZ"/>
          <w:rFonts w:ascii="Calibri" w:hAnsi="Calibri" w:cs="Calibri"/>
          <w:sz w:val="24"/>
          <w:szCs w:val="24"/>
        </w:rPr>
        <w:t>K vystavení daňového dokladu dojde po předání a převzetí díla, lhůta splatnosti je 14 dnů od jeho doručení objednateli.</w:t>
      </w:r>
    </w:p>
    <w:p>
      <w:pPr/>
    </w:p>
    <w:p>
      <w:pPr/>
      <w:r>
        <w:rPr>
          <w:lang w:val="cs-CZ"/>
          <w:rFonts w:ascii="Calibri" w:hAnsi="Calibri" w:cs="Calibri"/>
          <w:b/>
          <w:sz w:val="24"/>
          <w:szCs w:val="24"/>
        </w:rPr>
        <w:t xml:space="preserve">Plátcovství DPH: </w:t>
      </w:r>
    </w:p>
    <w:p>
      <w:pPr>
        <w:ind w:left="570"/>
      </w:pPr>
      <w:r>
        <w:rPr>
          <w:lang w:val="cs-CZ"/>
          <w:rFonts w:ascii="Calibri" w:hAnsi="Calibri" w:cs="Calibri"/>
          <w:sz w:val="24"/>
          <w:szCs w:val="24"/>
        </w:rPr>
        <w:t>Objednatel je plátcem DPH.</w:t>
      </w:r>
    </w:p>
    <w:p>
      <w:pPr>
        <w:ind w:left="570"/>
      </w:pPr>
      <w:r>
        <w:rPr>
          <w:lang w:val="cs-CZ"/>
          <w:rFonts w:ascii="Calibri" w:hAnsi="Calibri" w:cs="Calibri"/>
          <w:sz w:val="24"/>
          <w:szCs w:val="24"/>
        </w:rPr>
        <w:t>Dodavatel je plátcem DPH.</w:t>
      </w:r>
    </w:p>
    <w:p>
      <w:pPr/>
    </w:p>
    <w:p>
      <w:pPr/>
      <w:r>
        <w:rPr>
          <w:lang w:val="cs-CZ"/>
          <w:rFonts w:ascii="Calibri" w:hAnsi="Calibri" w:cs="Calibri"/>
          <w:b/>
          <w:sz w:val="24"/>
          <w:szCs w:val="24"/>
        </w:rPr>
        <w:t xml:space="preserve">Klasifikace CZ-CPA: </w:t>
      </w:r>
      <w:r>
        <w:rPr>
          <w:lang w:val="cs-CZ"/>
          <w:rFonts w:ascii="Calibri" w:hAnsi="Calibri" w:cs="Calibri"/>
          <w:sz w:val="24"/>
          <w:szCs w:val="24"/>
        </w:rPr>
        <w:t>Provedené práce odpovídají svým charakterem číselnému kódu klasifikace CZ-CPA č. 41 až 43 dle § 92a zákona č. 235/2004 Sb.</w:t>
      </w:r>
    </w:p>
    <w:p>
      <w:pPr/>
    </w:p>
    <w:p>
      <w:pPr/>
      <w:r>
        <w:rPr>
          <w:lang w:val="cs-CZ"/>
          <w:rFonts w:ascii="Calibri" w:hAnsi="Calibri" w:cs="Calibri"/>
          <w:b/>
          <w:sz w:val="24"/>
          <w:szCs w:val="24"/>
        </w:rPr>
        <w:t xml:space="preserve">Doba plnění (dodací lhůta): </w:t>
      </w:r>
      <w:r>
        <w:rPr>
          <w:lang w:val="cs-CZ"/>
          <w:rFonts w:ascii="Calibri" w:hAnsi="Calibri" w:cs="Calibri"/>
          <w:sz w:val="24"/>
          <w:szCs w:val="24"/>
        </w:rPr>
        <w:t>do 28.5.2022</w:t>
      </w:r>
    </w:p>
    <w:p>
      <w:pPr/>
    </w:p>
    <w:p>
      <w:pPr/>
      <w:r>
        <w:rPr>
          <w:lang w:val="cs-CZ"/>
          <w:rFonts w:ascii="Calibri" w:hAnsi="Calibri" w:cs="Calibri"/>
          <w:b/>
          <w:sz w:val="24"/>
          <w:szCs w:val="24"/>
        </w:rPr>
        <w:t xml:space="preserve">Místo plnění: </w:t>
      </w:r>
      <w:r>
        <w:rPr>
          <w:lang w:val="cs-CZ"/>
          <w:rFonts w:ascii="Calibri" w:hAnsi="Calibri" w:cs="Calibri"/>
          <w:sz w:val="24"/>
          <w:szCs w:val="24"/>
        </w:rPr>
        <w:t>Test, Test 11</w:t>
      </w:r>
    </w:p>
    <w:p>
      <w:pPr/>
    </w:p>
    <w:p>
      <w:pPr/>
      <w:r>
        <w:rPr>
          <w:lang w:val="cs-CZ"/>
          <w:rFonts w:ascii="Calibri" w:hAnsi="Calibri" w:cs="Calibri"/>
          <w:b/>
          <w:sz w:val="24"/>
          <w:szCs w:val="24"/>
        </w:rPr>
        <w:t xml:space="preserve">Poskytnutí záruky na jakost: </w:t>
      </w:r>
      <w:r>
        <w:rPr>
          <w:lang w:val="cs-CZ"/>
          <w:rFonts w:ascii="Calibri" w:hAnsi="Calibri" w:cs="Calibri"/>
          <w:sz w:val="24"/>
          <w:szCs w:val="24"/>
        </w:rPr>
        <w:t>15 měsíců od předání předmětu objednávky</w:t>
      </w:r>
    </w:p>
    <w:p>
      <w:pPr/>
    </w:p>
    <w:p>
      <w:pPr/>
      <w:r>
        <w:rPr>
          <w:lang w:val="cs-CZ"/>
          <w:rFonts w:ascii="Calibri" w:hAnsi="Calibri" w:cs="Calibri"/>
          <w:b/>
          <w:sz w:val="24"/>
          <w:szCs w:val="24"/>
        </w:rPr>
        <w:t>Možnosti odstoupení objednatele od objednávky:</w:t>
      </w:r>
    </w:p>
    <w:p>
      <w:pPr/>
    </w:p>
    <w:p>
      <w:pPr/>
      <w:r>
        <w:rPr>
          <w:lang w:val="cs-CZ"/>
          <w:rFonts w:ascii="Calibri" w:hAnsi="Calibri" w:cs="Calibri"/>
          <w:sz w:val="24"/>
          <w:szCs w:val="24"/>
        </w:rPr>
        <w:t>- v případě, že dojde k prodlení dodavatele s předáním díla delším než 30 dnů oproti termínu uvedeném v objednávce</w:t>
      </w:r>
    </w:p>
    <w:p>
      <w:pPr/>
      <w:r>
        <w:rPr>
          <w:lang w:val="cs-CZ"/>
          <w:rFonts w:ascii="Calibri" w:hAnsi="Calibri" w:cs="Calibri"/>
          <w:sz w:val="24"/>
          <w:szCs w:val="24"/>
        </w:rPr>
        <w:t>- v případě závažného porušení povinností dodavatele, které trvá i po upozornění na toto porušení</w:t>
      </w:r>
    </w:p>
    <w:p>
      <w:pPr>
        <w:jc w:val="right"/>
      </w:pPr>
      <w:r>
        <w:rPr>
          <w:lang w:val="cs-CZ"/>
          <w:rFonts w:ascii="Calibri" w:hAnsi="Calibri" w:cs="Calibri"/>
          <w:b/>
          <w:sz w:val="24"/>
          <w:szCs w:val="24"/>
        </w:rPr>
        <w:t xml:space="preserve">Objednávku vyhotovil: </w:t>
      </w:r>
      <w:r>
        <w:rPr>
          <w:lang w:val="cs-CZ"/>
          <w:rFonts w:ascii="Calibri" w:hAnsi="Calibri" w:cs="Calibri"/>
          <w:sz w:val="24"/>
          <w:szCs w:val="24"/>
        </w:rPr>
        <w:t>XXXXXXXXXXXXXX</w:t>
      </w:r>
    </w:p>
    <w:p>
      <w:pPr/>
      <w:r>
        <w:rPr>
          <w:lang w:val="cs-CZ"/>
          <w:rFonts w:ascii="Calibri" w:hAnsi="Calibri" w:cs="Calibri"/>
          <w:b/>
          <w:sz w:val="24"/>
          <w:szCs w:val="24"/>
        </w:rPr>
        <w:t xml:space="preserve">Úhrada z kapitoly: </w:t>
      </w:r>
      <w:r>
        <w:rPr>
          <w:lang w:val="cs-CZ"/>
          <w:rFonts w:ascii="Calibri" w:hAnsi="Calibri" w:cs="Calibri"/>
          <w:sz w:val="24"/>
          <w:szCs w:val="24"/>
        </w:rPr>
        <w:t>test</w:t>
      </w:r>
    </w:p>
    <w:p>
      <w:pPr/>
    </w:p>
    <w:p>
      <w:pPr/>
      <w:r>
        <w:rPr>
          <w:lang w:val="cs-CZ"/>
          <w:rFonts w:ascii="Calibri" w:hAnsi="Calibri" w:cs="Calibri"/>
          <w:b/>
          <w:sz w:val="24"/>
          <w:szCs w:val="24"/>
        </w:rPr>
        <w:t xml:space="preserve">Datum objednání: </w:t>
      </w:r>
      <w:r>
        <w:rPr>
          <w:lang w:val="cs-CZ"/>
          <w:rFonts w:ascii="Calibri" w:hAnsi="Calibri" w:cs="Calibri"/>
          <w:sz w:val="24"/>
          <w:szCs w:val="24"/>
        </w:rPr>
        <w:t>07.11.2022</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Příkazce operace: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Správce rozpočtu: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Razítko a podpis objednatele:</w:t>
      </w:r>
    </w:p>
    <w:p>
      <w:pPr/>
    </w:p>
    <w:p>
      <w:pPr/>
      <w:r>
        <w:rPr>
          <w:lang w:val="cs-CZ"/>
          <w:rFonts w:ascii="Calibri" w:hAnsi="Calibri" w:cs="Calibri"/>
          <w:b/>
          <w:sz w:val="24"/>
          <w:szCs w:val="24"/>
        </w:rPr>
        <w:t xml:space="preserve">Tímto bez výhrad </w:t>
      </w:r>
      <w:r>
        <w:rPr>
          <w:lang w:val="cs-CZ"/>
          <w:rFonts w:ascii="Calibri" w:hAnsi="Calibri" w:cs="Calibri"/>
          <w:b/>
          <w:u w:val="single" w:color="000000"/>
          <w:sz w:val="24"/>
          <w:szCs w:val="24"/>
        </w:rPr>
        <w:t>potvrzuji akceptaci výše uvedené objednávky:</w:t>
      </w:r>
    </w:p>
    <w:p>
      <w:pPr/>
    </w:p>
    <w:p>
      <w:pPr>
        <w:ind w:left="570"/>
      </w:pPr>
      <w:r>
        <w:rPr>
          <w:lang w:val="cs-CZ"/>
          <w:rFonts w:ascii="Calibri" w:hAnsi="Calibri" w:cs="Calibri"/>
          <w:b/>
          <w:sz w:val="24"/>
          <w:szCs w:val="24"/>
        </w:rPr>
        <w:t xml:space="preserve">Datum: </w:t>
      </w:r>
      <w:r>
        <w:rPr>
          <w:lang w:val="cs-CZ"/>
          <w:rFonts w:ascii="Calibri" w:hAnsi="Calibri" w:cs="Calibri"/>
          <w:sz w:val="24"/>
          <w:szCs w:val="24"/>
        </w:rPr>
        <w:t>.................................</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ind w:left="570"/>
            </w:pPr>
            <w:r>
              <w:rPr>
                <w:lang w:val="cs-CZ"/>
                <w:rFonts w:ascii="Calibri" w:hAnsi="Calibri" w:cs="Calibri"/>
                <w:b/>
                <w:sz w:val="24"/>
                <w:szCs w:val="24"/>
              </w:rPr>
              <w:t>Za dodavatele:</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Tato objednávka, včetně případných příloh, podléhá povinnosti zveřejnění v Registru smluv podle zákona č. 340/2015 Sb. o registru smluv, tím zároveň nabývá účinnost. Zveřejnění objednávky v Registru smluv zajistí Město Jičín.</w:t>
      </w:r>
    </w:p>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e82640553245a5" /><Relationship Type="http://schemas.openxmlformats.org/officeDocument/2006/relationships/numbering" Target="/word/numbering.xml" Id="Rba700931ffd14244" /><Relationship Type="http://schemas.openxmlformats.org/officeDocument/2006/relationships/settings" Target="/word/settings.xml" Id="R565a83ccd30e4701" /><Relationship Type="http://schemas.openxmlformats.org/officeDocument/2006/relationships/image" Target="/word/media/cbf8fe93-29e1-4c65-bb94-b0fa30a5ac09.jpeg" Id="R42c1c4c287c14303" /></Relationships>
</file>