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85961ed576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fff24f4394ec4"/>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49/2022/INV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1</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04.11.2022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1b8ccd82e04702" /><Relationship Type="http://schemas.openxmlformats.org/officeDocument/2006/relationships/numbering" Target="/word/numbering.xml" Id="R8652d7912e044091" /><Relationship Type="http://schemas.openxmlformats.org/officeDocument/2006/relationships/settings" Target="/word/settings.xml" Id="R65a27f9fac6945ce" /><Relationship Type="http://schemas.openxmlformats.org/officeDocument/2006/relationships/image" Target="/word/media/1b5500c7-bdbf-45b7-afbf-74d04a484e0a.jpeg" Id="Racdfff24f4394ec4" /></Relationships>
</file>