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39"/>
      </w:tblGrid>
      <w:tr>
        <w:trPr/>
        <w:tc>
          <w:tcPr>
            <w:tcW w:w="1053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39"/>
            </w:tblGrid>
            <w:tr>
              <w:trPr>
                <w:trHeight w:val="4833" w:hRule="atLeast"/>
              </w:trPr>
              <w:tc>
                <w:tcPr>
                  <w:tcW w:w="105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"/>
                    <w:gridCol w:w="2077"/>
                    <w:gridCol w:w="35"/>
                    <w:gridCol w:w="99"/>
                    <w:gridCol w:w="2361"/>
                    <w:gridCol w:w="624"/>
                    <w:gridCol w:w="2752"/>
                    <w:gridCol w:w="79"/>
                    <w:gridCol w:w="2361"/>
                    <w:gridCol w:w="129"/>
                  </w:tblGrid>
                  <w:tr>
                    <w:trPr>
                      <w:trHeight w:val="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410"/>
                        </w:tblGrid>
                        <w:tr>
                          <w:trPr>
                            <w:trHeight w:val="423" w:hRule="exact"/>
                          </w:trPr>
                          <w:tc>
                            <w:tcPr>
                              <w:tcW w:w="841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32"/>
                                </w:rPr>
                                <w:t xml:space="preserve">SLUCHATKO MONO JABRA BIZ 1500 S PROPOJOVACIM KABELEM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13"/>
                        </w:tblGrid>
                        <w:tr>
                          <w:trPr>
                            <w:trHeight w:val="419" w:hRule="exact"/>
                          </w:trPr>
                          <w:tc>
                            <w:tcPr>
                              <w:tcW w:w="211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32"/>
                                </w:rPr>
                                <w:t xml:space="preserve">10/10056/99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Původní číslo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Způsob ocenění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Pořizovací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Sériové číslo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00037133205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Název dodavatele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GRUBER JAROSLAV-BG TELECOM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Kód třídy DM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DRH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IČ dodavatele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13790480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Kód podtřídy DM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191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Hlavní majetek/komponenta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Komponenta hlavního majetku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Fond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03_PF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532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Datum zařazení drobného majetku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17.05.18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Inventární úsek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532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drobného majetku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2 037,60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6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Umístění DM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R/303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Datum vyřazení drobného majetku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6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Odpovědný zaměstnanec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Michaela Faltová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Kód způsobu vyřazení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Prodejní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20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120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Hmotná odpovědnost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752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75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 prodejního dokladu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77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07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 zakázky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restart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  <w:v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77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07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 smlouvy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18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818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77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07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18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818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77"/>
                        </w:tblGrid>
                        <w:tr>
                          <w:trPr>
                            <w:trHeight w:val="239" w:hRule="exact"/>
                          </w:trPr>
                          <w:tc>
                            <w:tcPr>
                              <w:tcW w:w="207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Čísla dokladů pořízení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361"/>
                        </w:tblGrid>
                        <w:tr>
                          <w:trPr>
                            <w:trHeight w:val="239" w:hRule="atLeast"/>
                          </w:trPr>
                          <w:tc>
                            <w:tcPr>
                              <w:tcW w:w="236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2018/911/814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7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75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6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396" w:bottom="566" w:left="963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3"/>
      <w:gridCol w:w="4251"/>
      <w:gridCol w:w="3062"/>
      <w:gridCol w:w="784"/>
      <w:gridCol w:w="1396"/>
      <w:gridCol w:w="521"/>
      <w:gridCol w:w="20"/>
      <w:gridCol w:w="433"/>
      <w:gridCol w:w="27"/>
    </w:tblGrid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370"/>
          </w:tblGrid>
          <w:tr>
            <w:trPr>
              <w:trHeight w:val="239" w:hRule="exact"/>
            </w:trPr>
            <w:tc>
              <w:tcPr>
                <w:tcW w:w="2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4"/>
                  </w:rPr>
                  <w:t xml:space="preserve">18. února 2022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251"/>
          </w:tblGrid>
          <w:tr>
            <w:trPr>
              <w:trHeight w:val="239" w:hRule="exact"/>
            </w:trPr>
            <w:tc>
              <w:tcPr>
                <w:tcW w:w="42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Karta drobného majetku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1"/>
          </w:tblGrid>
          <w:tr>
            <w:trPr>
              <w:trHeight w:val="239" w:hRule="exact"/>
            </w:trPr>
            <w:tc>
              <w:tcPr>
                <w:tcW w:w="52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4"/>
                  </w:rPr>
                  <w:t xml:space="preserve">Strana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33"/>
          </w:tblGrid>
          <w:tr>
            <w:trPr>
              <w:trHeight w:val="239" w:hRule="exact"/>
            </w:trPr>
            <w:tc>
              <w:tcPr>
                <w:tcW w:w="43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4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251"/>
          </w:tblGrid>
          <w:tr>
            <w:trPr>
              <w:trHeight w:val="239" w:hRule="exact"/>
            </w:trPr>
            <w:tc>
              <w:tcPr>
                <w:tcW w:w="42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4"/>
                  </w:rPr>
                  <w:t xml:space="preserve">OZP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155"/>
          </w:tblGrid>
          <w:tr>
            <w:trPr>
              <w:trHeight w:val="239" w:hRule="atLeast"/>
            </w:trPr>
            <w:tc>
              <w:tcPr>
                <w:tcW w:w="31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4"/>
                  </w:rPr>
                  <w:t xml:space="preserve">Jan Laurent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39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6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