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Zhlavdohody"/>
        <w:spacing w:before="0"/>
      </w:pPr>
      <w:bookmarkStart w:id="0" w:name="_GoBack"/>
      <w:bookmarkEnd w:id="0"/>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B819802E8F404E598620FFCFF954D4C6"/>
          </w:placeholder>
        </w:sdtPr>
        <w:sdtContent>
          <w:r>
            <w:rPr>
              <w:rFonts w:eastAsia="Arial"/>
              <w:b w:val="0"/>
              <w:sz w:val="24"/>
              <w:szCs w:val="24"/>
            </w:rPr>
            <w:t>o provedení rekvalifikace č. PPM-PER-8/2020</w:t>
          </w:r>
        </w:sdtContent>
      </w:sdt>
    </w:p>
    <w:p>
      <w:pPr>
        <w:rPr>
          <w:rFonts w:ascii="Arial" w:hAnsi="Arial" w:cs="Arial"/>
          <w:sz w:val="22"/>
          <w:szCs w:val="22"/>
        </w:rPr>
      </w:pPr>
      <w:r>
        <w:rPr>
          <w:rFonts w:ascii="Arial" w:hAnsi="Arial" w:cs="Arial"/>
          <w:sz w:val="22"/>
          <w:szCs w:val="22"/>
        </w:rPr>
        <w:t>kterou uzavírá</w:t>
      </w:r>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D54F69410E4440E58D3585E518BAA35B"/>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 Úřad práce České republiky - Krajská pobočka v Plzni</w:t>
          </w:r>
        </w:p>
        <w:p>
          <w:pPr>
            <w:rPr>
              <w:rFonts w:ascii="Arial" w:hAnsi="Arial" w:cs="Arial"/>
              <w:sz w:val="22"/>
              <w:szCs w:val="22"/>
            </w:rPr>
          </w:pPr>
          <w:r>
            <w:rPr>
              <w:rFonts w:ascii="Arial" w:hAnsi="Arial" w:cs="Arial"/>
              <w:sz w:val="22"/>
              <w:szCs w:val="22"/>
            </w:rPr>
            <w:t xml:space="preserve">zastupující osoba: </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identifikační číslo: 72496991</w:t>
          </w:r>
        </w:p>
        <w:p>
          <w:pPr>
            <w:rPr>
              <w:rFonts w:ascii="Arial" w:hAnsi="Arial" w:cs="Arial"/>
              <w:sz w:val="22"/>
              <w:szCs w:val="22"/>
            </w:rPr>
          </w:pPr>
          <w:r>
            <w:rPr>
              <w:rFonts w:ascii="Arial" w:hAnsi="Arial" w:cs="Arial"/>
              <w:sz w:val="22"/>
              <w:szCs w:val="22"/>
            </w:rPr>
            <w:t>číslo účtu: 19-37828311/0710</w:t>
          </w:r>
        </w:p>
      </w:sdtContent>
    </w:sdt>
    <w:p>
      <w:pPr>
        <w:spacing w:before="60"/>
        <w:rPr>
          <w:rFonts w:ascii="Arial" w:hAnsi="Arial" w:cs="Arial"/>
          <w:sz w:val="22"/>
          <w:szCs w:val="22"/>
          <w:lang w:val="es-ES"/>
        </w:rPr>
      </w:pPr>
      <w:r>
        <w:rPr>
          <w:rFonts w:ascii="Arial" w:hAnsi="Arial" w:cs="Arial"/>
          <w:sz w:val="22"/>
          <w:szCs w:val="22"/>
        </w:rPr>
        <w:t xml:space="preserve">(dále jen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6EC23BEE41214B01B8A4605A2596DE39"/>
        </w:placeholder>
      </w:sdtPr>
      <w:sdtContent>
        <w:p>
          <w:pPr>
            <w:ind w:right="414"/>
            <w:rPr>
              <w:rFonts w:ascii="Arial" w:eastAsia="Arial" w:hAnsi="Arial" w:cs="Arial"/>
              <w:sz w:val="22"/>
              <w:szCs w:val="22"/>
              <w:lang w:val="cs-CZ"/>
            </w:rPr>
          </w:pPr>
          <w:r>
            <w:rPr>
              <w:rFonts w:ascii="Arial" w:eastAsia="Arial" w:hAnsi="Arial" w:cs="Arial"/>
              <w:sz w:val="22"/>
              <w:szCs w:val="22"/>
              <w:lang w:val="cs-CZ"/>
            </w:rPr>
            <w:t xml:space="preserve">rekvalifikační zařízení: Consulting - Reality, s.r.o. </w:t>
          </w:r>
        </w:p>
        <w:p>
          <w:pPr>
            <w:ind w:right="414"/>
            <w:rPr>
              <w:rFonts w:ascii="Arial" w:eastAsia="Arial" w:hAnsi="Arial" w:cs="Arial"/>
              <w:sz w:val="22"/>
              <w:szCs w:val="22"/>
              <w:lang w:val="cs-CZ"/>
            </w:rPr>
          </w:pPr>
          <w:r>
            <w:rPr>
              <w:rFonts w:ascii="Arial" w:eastAsia="Arial" w:hAnsi="Arial" w:cs="Arial"/>
              <w:sz w:val="22"/>
              <w:szCs w:val="22"/>
              <w:lang w:val="cs-CZ"/>
            </w:rPr>
            <w:t>zastupující osoba: Pavel Mudron, Jan Novak, testič Test pro VPM</w:t>
          </w:r>
        </w:p>
        <w:p>
          <w:pPr>
            <w:ind w:right="414"/>
            <w:rPr>
              <w:rFonts w:ascii="Arial" w:eastAsia="Arial" w:hAnsi="Arial" w:cs="Arial"/>
              <w:sz w:val="22"/>
              <w:szCs w:val="22"/>
              <w:lang w:val="cs-CZ"/>
            </w:rPr>
          </w:pPr>
          <w:r>
            <w:rPr>
              <w:rFonts w:ascii="Arial" w:eastAsia="Arial" w:hAnsi="Arial" w:cs="Arial"/>
              <w:sz w:val="22"/>
              <w:szCs w:val="22"/>
              <w:lang w:val="cs-CZ"/>
            </w:rPr>
            <w:t>sídlo: Dobřichovice 434, PSČ 25229</w:t>
          </w:r>
        </w:p>
        <w:p>
          <w:pPr>
            <w:ind w:right="414"/>
            <w:rPr>
              <w:rFonts w:ascii="Arial" w:eastAsia="Arial" w:hAnsi="Arial" w:cs="Arial"/>
              <w:sz w:val="22"/>
              <w:szCs w:val="22"/>
              <w:lang w:val="cs-CZ"/>
            </w:rPr>
          </w:pPr>
          <w:r>
            <w:rPr>
              <w:rFonts w:ascii="Arial" w:eastAsia="Arial" w:hAnsi="Arial" w:cs="Arial"/>
              <w:sz w:val="22"/>
              <w:szCs w:val="22"/>
              <w:lang w:val="cs-CZ"/>
            </w:rPr>
            <w:t>identifikační číslo: 27228754</w:t>
          </w:r>
        </w:p>
        <w:p>
          <w:pPr>
            <w:ind w:right="414"/>
            <w:rPr>
              <w:rFonts w:ascii="Arial" w:eastAsia="Arial" w:hAnsi="Arial" w:cs="Arial"/>
              <w:sz w:val="22"/>
              <w:szCs w:val="22"/>
              <w:lang w:val="cs-CZ"/>
            </w:rPr>
          </w:pPr>
          <w:r>
            <w:rPr>
              <w:rFonts w:ascii="Arial" w:eastAsia="Arial" w:hAnsi="Arial" w:cs="Arial"/>
              <w:sz w:val="22"/>
              <w:szCs w:val="22"/>
              <w:lang w:val="cs-CZ"/>
            </w:rPr>
            <w:t xml:space="preserve">adresa provozovny: </w:t>
          </w:r>
        </w:p>
        <w:p>
          <w:pPr>
            <w:ind w:right="414"/>
            <w:rPr>
              <w:rFonts w:ascii="Arial" w:eastAsia="Arial" w:hAnsi="Arial" w:cs="Arial"/>
              <w:sz w:val="22"/>
              <w:szCs w:val="22"/>
              <w:lang w:val="cs-CZ"/>
            </w:rPr>
          </w:pPr>
          <w:r>
            <w:rPr>
              <w:rFonts w:ascii="Arial" w:eastAsia="Arial" w:hAnsi="Arial" w:cs="Arial"/>
              <w:sz w:val="22"/>
              <w:szCs w:val="22"/>
              <w:lang w:val="cs-CZ"/>
            </w:rPr>
            <w:t>číslo účtu: 2200737786/2010</w:t>
          </w:r>
        </w:p>
      </w:sdtContent>
    </w:sdt>
    <w:p>
      <w:pPr>
        <w:spacing w:before="60"/>
        <w:rPr>
          <w:rFonts w:ascii="Arial" w:hAnsi="Arial" w:cs="Arial"/>
          <w:sz w:val="22"/>
          <w:szCs w:val="22"/>
        </w:rPr>
      </w:pPr>
      <w:r>
        <w:rPr>
          <w:rFonts w:ascii="Arial" w:hAnsi="Arial" w:cs="Arial"/>
          <w:sz w:val="22"/>
          <w:szCs w:val="22"/>
        </w:rPr>
        <w:t>(dále jen „rekvalifikační zařízení”) na straně druhé</w:t>
      </w:r>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rPr>
          </w:pPr>
          <w:r>
            <w:rPr>
              <w:b/>
              <w:bCs/>
              <w:sz w:val="24"/>
              <w:szCs w:val="24"/>
            </w:rPr>
            <w:t>Článek I</w:t>
          </w:r>
          <w:r>
            <w:rPr>
              <w:b/>
              <w:bCs/>
              <w:sz w:val="24"/>
              <w:szCs w:val="24"/>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rPr>
          </w:pPr>
          <w:r>
            <w:rPr>
              <w:b/>
              <w:bCs/>
              <w:sz w:val="24"/>
              <w:szCs w:val="24"/>
            </w:rPr>
            <w:t>Článek II</w:t>
          </w:r>
          <w:r>
            <w:rPr>
              <w:b/>
              <w:bCs/>
              <w:sz w:val="24"/>
              <w:szCs w:val="24"/>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1.</w:t>
          </w:r>
          <w:r>
            <w:rPr>
              <w:rFonts w:ascii="Arial" w:hAnsi="Arial" w:cs="Arial"/>
              <w:sz w:val="22"/>
              <w:szCs w:val="22"/>
            </w:rPr>
            <w:tab/>
            <w:t xml:space="preserve">Předmětem dohody je zabezpečení rekvalifikace na pracovní činnost:  </w:t>
          </w:r>
          <w:r>
            <w:rPr>
              <w:rFonts w:ascii="Arial" w:hAnsi="Arial" w:cs="Arial"/>
              <w:sz w:val="22"/>
              <w:szCs w:val="22"/>
            </w:rPr>
            <w:br/>
            <w:t>činnooost</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2.</w:t>
          </w:r>
          <w:r>
            <w:rPr>
              <w:rFonts w:ascii="Arial" w:hAnsi="Arial" w:cs="Arial"/>
              <w:sz w:val="22"/>
              <w:szCs w:val="22"/>
            </w:rPr>
            <w:tab/>
            <w:t xml:space="preserve">Rekvalifikace se uskuteční ve vzdělávacím programu:  </w:t>
          </w:r>
          <w:r>
            <w:rPr>
              <w:rFonts w:ascii="Arial" w:hAnsi="Arial" w:cs="Arial"/>
              <w:sz w:val="22"/>
              <w:szCs w:val="22"/>
            </w:rPr>
            <w:br/>
            <w:t>Počítačová gramotnost</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3.</w:t>
          </w:r>
          <w:r>
            <w:rPr>
              <w:rFonts w:ascii="Arial" w:hAnsi="Arial" w:cs="Arial"/>
              <w:sz w:val="22"/>
              <w:szCs w:val="22"/>
            </w:rPr>
            <w:tab/>
            <w:t xml:space="preserve">Základní kvalifikační předpoklady potřebné pro zařazení do rekvalifikace, tj. minimální stupeň vzdělání, popřípadě další požadavky:  </w:t>
          </w:r>
          <w:r>
            <w:rPr>
              <w:rFonts w:ascii="Arial" w:hAnsi="Arial" w:cs="Arial"/>
              <w:sz w:val="22"/>
              <w:szCs w:val="22"/>
            </w:rPr>
            <w:br/>
            <w:t xml:space="preserve">Vyšší odborné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4.</w:t>
          </w:r>
          <w:r>
            <w:rPr>
              <w:rFonts w:ascii="Arial" w:hAnsi="Arial" w:cs="Arial"/>
              <w:sz w:val="22"/>
              <w:szCs w:val="22"/>
            </w:rPr>
            <w:tab/>
            <w:t>Celkový rozsah rekvalifikace: 170  hodin</w:t>
          </w:r>
          <w:r>
            <w:rPr>
              <w:rFonts w:ascii="Arial" w:hAnsi="Arial" w:cs="Arial"/>
              <w:sz w:val="22"/>
              <w:szCs w:val="22"/>
            </w:rPr>
            <w:br/>
            <w:t xml:space="preserve">z toho: </w:t>
          </w:r>
          <w:r>
            <w:rPr>
              <w:rFonts w:ascii="Arial" w:hAnsi="Arial" w:cs="Arial"/>
              <w:sz w:val="22"/>
              <w:szCs w:val="22"/>
            </w:rPr>
            <w:br/>
            <w:t>- teoretická příprava: 6 hodin</w:t>
          </w:r>
          <w:r>
            <w:rPr>
              <w:rFonts w:ascii="Arial" w:hAnsi="Arial" w:cs="Arial"/>
              <w:sz w:val="22"/>
              <w:szCs w:val="22"/>
            </w:rPr>
            <w:br/>
            <w:t>- praktická příprava:  hodin</w:t>
          </w:r>
          <w:r>
            <w:rPr>
              <w:rFonts w:ascii="Arial" w:hAnsi="Arial" w:cs="Arial"/>
              <w:sz w:val="22"/>
              <w:szCs w:val="22"/>
            </w:rPr>
            <w:br/>
            <w:t>- ověření získaných znalostí a dovedností: 4 hodin</w:t>
          </w:r>
          <w:r>
            <w:rPr>
              <w:rFonts w:ascii="Arial" w:hAnsi="Arial" w:cs="Arial"/>
              <w:sz w:val="22"/>
              <w:szCs w:val="22"/>
            </w:rPr>
            <w:br/>
            <w:t>Forma konání přípravy: 2</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5.</w:t>
          </w:r>
          <w:r>
            <w:rPr>
              <w:rFonts w:ascii="Arial" w:hAnsi="Arial" w:cs="Arial"/>
              <w:sz w:val="22"/>
              <w:szCs w:val="22"/>
            </w:rPr>
            <w:tab/>
            <w:t xml:space="preserve">Místo konání rekvalifikace:  </w:t>
          </w:r>
          <w:r>
            <w:rPr>
              <w:rFonts w:ascii="Arial" w:hAnsi="Arial" w:cs="Arial"/>
              <w:sz w:val="22"/>
              <w:szCs w:val="22"/>
            </w:rPr>
            <w:br/>
            <w:t>,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6.</w:t>
          </w:r>
          <w:r>
            <w:rPr>
              <w:rFonts w:ascii="Arial" w:hAnsi="Arial" w:cs="Arial"/>
              <w:sz w:val="22"/>
              <w:szCs w:val="22"/>
            </w:rPr>
            <w:tab/>
            <w:t xml:space="preserve">Doba rekvalifikace: </w:t>
          </w:r>
          <w:r>
            <w:rPr>
              <w:rFonts w:ascii="Arial" w:hAnsi="Arial" w:cs="Arial"/>
              <w:sz w:val="22"/>
              <w:szCs w:val="22"/>
            </w:rPr>
            <w:br/>
            <w:t xml:space="preserve">zahájení 01.10.2020 v  </w:t>
          </w:r>
          <w:r>
            <w:rPr>
              <w:rFonts w:ascii="Arial" w:hAnsi="Arial" w:cs="Arial"/>
              <w:sz w:val="22"/>
              <w:szCs w:val="22"/>
            </w:rPr>
            <w:br/>
            <w:t>ukončení 30.11.2020</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7.</w:t>
          </w:r>
          <w:r>
            <w:rPr>
              <w:rFonts w:ascii="Arial" w:hAnsi="Arial" w:cs="Arial"/>
              <w:sz w:val="22"/>
              <w:szCs w:val="22"/>
            </w:rPr>
            <w:tab/>
            <w:t xml:space="preserve">Způsob ověření získaných znalostí a dovedností:  </w:t>
          </w:r>
          <w:r>
            <w:rPr>
              <w:rFonts w:ascii="Arial" w:hAnsi="Arial" w:cs="Arial"/>
              <w:sz w:val="22"/>
              <w:szCs w:val="22"/>
            </w:rPr>
            <w:br/>
            <w:t xml:space="preserve">Denní výuka dopoledne </w:t>
          </w:r>
          <w:r>
            <w:rPr>
              <w:rFonts w:ascii="Arial" w:hAnsi="Arial" w:cs="Arial"/>
              <w:sz w:val="22"/>
              <w:szCs w:val="22"/>
            </w:rPr>
            <w:br/>
            <w:t xml:space="preserve">Výstupní doklad: </w:t>
          </w:r>
          <w:r>
            <w:rPr>
              <w:rFonts w:ascii="Arial" w:hAnsi="Arial" w:cs="Arial"/>
              <w:sz w:val="22"/>
              <w:szCs w:val="22"/>
            </w:rPr>
            <w:br/>
            <w:t>Průkaz strojníka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8.</w:t>
          </w:r>
          <w:r>
            <w:rPr>
              <w:rFonts w:ascii="Arial" w:hAnsi="Arial" w:cs="Arial"/>
              <w:sz w:val="22"/>
              <w:szCs w:val="22"/>
            </w:rPr>
            <w:tab/>
            <w:t>Účastníci rekvalifikace:</w:t>
          </w:r>
          <w:r>
            <w:rPr>
              <w:rFonts w:ascii="Arial" w:hAnsi="Arial" w:cs="Arial"/>
              <w:sz w:val="22"/>
              <w:szCs w:val="22"/>
            </w:rPr>
            <w:br/>
            <w:t>• počet celkem: 1</w:t>
          </w:r>
          <w:r>
            <w:rPr>
              <w:rFonts w:ascii="Arial" w:hAnsi="Arial" w:cs="Arial"/>
              <w:sz w:val="22"/>
              <w:szCs w:val="22"/>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9.</w:t>
          </w:r>
          <w:r>
            <w:rPr>
              <w:rFonts w:ascii="Arial" w:hAnsi="Arial" w:cs="Arial"/>
              <w:sz w:val="22"/>
              <w:szCs w:val="22"/>
            </w:rPr>
            <w:tab/>
            <w:t xml:space="preserve">Náklady rekvalifikace na jednoho účastníka rekvalifikace:  </w:t>
          </w:r>
          <w:r>
            <w:rPr>
              <w:rFonts w:ascii="Arial" w:hAnsi="Arial" w:cs="Arial"/>
              <w:sz w:val="22"/>
              <w:szCs w:val="22"/>
            </w:rPr>
            <w:br/>
            <w:t xml:space="preserve">do výše 51 000 Kč (slovy padesátjedentisíc korun českých)  </w:t>
          </w:r>
          <w:r>
            <w:rPr>
              <w:rFonts w:ascii="Arial" w:hAnsi="Arial" w:cs="Arial"/>
              <w:sz w:val="22"/>
              <w:szCs w:val="22"/>
            </w:rPr>
            <w:br/>
            <w:t xml:space="preserve">Celkové náklady rekvalifikace:  </w:t>
          </w:r>
          <w:r>
            <w:rPr>
              <w:rFonts w:ascii="Arial" w:hAnsi="Arial" w:cs="Arial"/>
              <w:sz w:val="22"/>
              <w:szCs w:val="22"/>
            </w:rPr>
            <w:br/>
            <w:t>do výše 51 000 Kč (slovy padesátjedentisíc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rPr>
          </w:pPr>
          <w:r>
            <w:rPr>
              <w:b/>
              <w:bCs/>
              <w:sz w:val="24"/>
              <w:szCs w:val="24"/>
            </w:rPr>
            <w:t>Článek III</w:t>
          </w:r>
          <w:r>
            <w:rPr>
              <w:b/>
              <w:bCs/>
              <w:sz w:val="24"/>
              <w:szCs w:val="24"/>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4.</w:t>
          </w:r>
          <w:r>
            <w:rPr>
              <w:rFonts w:ascii="Arial" w:hAnsi="Arial" w:cs="Arial"/>
              <w:sz w:val="22"/>
              <w:szCs w:val="22"/>
            </w:rPr>
            <w:tab/>
            <w:t>V průběhu rekvalifikace zajistit prokazatelnou denní evidenci:</w:t>
          </w:r>
          <w:r>
            <w:rPr>
              <w:rFonts w:ascii="Arial" w:hAnsi="Arial" w:cs="Arial"/>
              <w:sz w:val="22"/>
              <w:szCs w:val="22"/>
            </w:rPr>
            <w:br/>
            <w:t>• docházky účastníků rekvalifikace,</w:t>
          </w:r>
          <w:r>
            <w:rPr>
              <w:rFonts w:ascii="Arial" w:hAnsi="Arial" w:cs="Arial"/>
              <w:sz w:val="22"/>
              <w:szCs w:val="22"/>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5.</w:t>
          </w:r>
          <w:r>
            <w:rPr>
              <w:rFonts w:ascii="Arial" w:hAnsi="Arial" w:cs="Arial"/>
              <w:sz w:val="22"/>
              <w:szCs w:val="22"/>
            </w:rPr>
            <w:tab/>
            <w:t>Neprodleně, písemně nejpozději do 8 kalendářních dnů, informovat Úřad práce, pokud:</w:t>
          </w:r>
          <w:r>
            <w:rPr>
              <w:rFonts w:ascii="Arial" w:hAnsi="Arial" w:cs="Arial"/>
              <w:sz w:val="22"/>
              <w:szCs w:val="22"/>
            </w:rPr>
            <w:br/>
            <w:t>• účastník rekvalifikace nenastoupí na rekvalifikaci,</w:t>
          </w:r>
          <w:r>
            <w:rPr>
              <w:rFonts w:ascii="Arial" w:hAnsi="Arial" w:cs="Arial"/>
              <w:sz w:val="22"/>
              <w:szCs w:val="22"/>
            </w:rPr>
            <w:br/>
            <w:t>• účastník rekvalifikace neplní stanovené studijní a výcvikové povinnosti,</w:t>
          </w:r>
          <w:r>
            <w:rPr>
              <w:rFonts w:ascii="Arial" w:hAnsi="Arial" w:cs="Arial"/>
              <w:sz w:val="22"/>
              <w:szCs w:val="22"/>
            </w:rPr>
            <w:br/>
            <w:t>• účastník rekvalifikace porušuje předpisy či řády rekvalifikačního zařízení,</w:t>
          </w:r>
          <w:r>
            <w:rPr>
              <w:rFonts w:ascii="Arial" w:hAnsi="Arial" w:cs="Arial"/>
              <w:sz w:val="22"/>
              <w:szCs w:val="22"/>
            </w:rPr>
            <w:br/>
            <w:t>• nastanou další závažné skutečnosti, zejména překážky v rekvalifikaci,</w:t>
          </w:r>
          <w:r>
            <w:rPr>
              <w:rFonts w:ascii="Arial" w:hAnsi="Arial" w:cs="Arial"/>
              <w:sz w:val="22"/>
              <w:szCs w:val="22"/>
            </w:rPr>
            <w:br/>
            <w:t>• se účastník nepodrobí závěrečnému ověření získaných znalostí a dovedností.</w:t>
          </w:r>
          <w:r>
            <w:rPr>
              <w:rFonts w:ascii="Arial" w:hAnsi="Arial" w:cs="Arial"/>
              <w:sz w:val="22"/>
              <w:szCs w:val="22"/>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6.</w:t>
          </w:r>
          <w:r>
            <w:rPr>
              <w:rFonts w:ascii="Arial" w:hAnsi="Arial" w:cs="Arial"/>
              <w:sz w:val="22"/>
              <w:szCs w:val="22"/>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7.</w:t>
          </w:r>
          <w:r>
            <w:rPr>
              <w:rFonts w:ascii="Arial" w:hAnsi="Arial" w:cs="Arial"/>
              <w:sz w:val="22"/>
              <w:szCs w:val="22"/>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8.</w:t>
          </w:r>
          <w:r>
            <w:rPr>
              <w:rFonts w:ascii="Arial" w:hAnsi="Arial" w:cs="Arial"/>
              <w:sz w:val="22"/>
              <w:szCs w:val="22"/>
            </w:rPr>
            <w:tab/>
            <w:t>Po ukončení rekvalifikace zaslat Úřadu práce závěrečný protokol, který bude minimálně obsahovat:</w:t>
          </w:r>
          <w:r>
            <w:rPr>
              <w:rFonts w:ascii="Arial" w:hAnsi="Arial" w:cs="Arial"/>
              <w:sz w:val="22"/>
              <w:szCs w:val="22"/>
            </w:rPr>
            <w:br/>
            <w:t>• seznam účastníků rekvalifikace, kteří úspěšně ukončili rekvalifikaci a obdrželi doklad o jejím absolvování, a vzor dokladu,</w:t>
          </w:r>
          <w:r>
            <w:rPr>
              <w:rFonts w:ascii="Arial" w:hAnsi="Arial" w:cs="Arial"/>
              <w:sz w:val="22"/>
              <w:szCs w:val="22"/>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9.</w:t>
          </w:r>
          <w:r>
            <w:rPr>
              <w:rFonts w:ascii="Arial" w:hAnsi="Arial" w:cs="Arial"/>
              <w:sz w:val="22"/>
              <w:szCs w:val="22"/>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rPr>
            <w:br/>
            <w:t xml:space="preserve">Fakturaci Do 14 dnů po ukončení  </w:t>
          </w:r>
          <w:r>
            <w:rPr>
              <w:rFonts w:ascii="Arial" w:hAnsi="Arial" w:cs="Arial"/>
              <w:sz w:val="22"/>
              <w:szCs w:val="22"/>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10.</w:t>
          </w:r>
          <w:r>
            <w:rPr>
              <w:rFonts w:ascii="Arial" w:hAnsi="Arial" w:cs="Arial"/>
              <w:sz w:val="22"/>
              <w:szCs w:val="22"/>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11.</w:t>
          </w:r>
          <w:r>
            <w:rPr>
              <w:rFonts w:ascii="Arial" w:hAnsi="Arial" w:cs="Arial"/>
              <w:sz w:val="22"/>
              <w:szCs w:val="22"/>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12.</w:t>
          </w:r>
          <w:r>
            <w:rPr>
              <w:rFonts w:ascii="Arial" w:hAnsi="Arial" w:cs="Arial"/>
              <w:sz w:val="22"/>
              <w:szCs w:val="22"/>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rPr>
          </w:pPr>
          <w:r>
            <w:rPr>
              <w:b/>
              <w:bCs/>
              <w:sz w:val="24"/>
              <w:szCs w:val="24"/>
            </w:rPr>
            <w:t>Článek IV</w:t>
          </w:r>
          <w:r>
            <w:rPr>
              <w:b/>
              <w:bCs/>
              <w:sz w:val="24"/>
              <w:szCs w:val="24"/>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rPr>
          </w:pPr>
          <w:r>
            <w:rPr>
              <w:b/>
              <w:bCs/>
              <w:sz w:val="24"/>
              <w:szCs w:val="24"/>
            </w:rPr>
            <w:t>Článek V</w:t>
          </w:r>
          <w:r>
            <w:rPr>
              <w:b/>
              <w:bCs/>
              <w:sz w:val="24"/>
              <w:szCs w:val="24"/>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6.</w:t>
          </w:r>
          <w:r>
            <w:rPr>
              <w:rFonts w:ascii="Arial" w:hAnsi="Arial" w:cs="Arial"/>
              <w:sz w:val="22"/>
              <w:szCs w:val="22"/>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CommonZadatelFcd_getZadatelPO_FO"/>
              <w:id w:val="-1896431476"/>
              <w:placeholder>
                <w:docPart w:val="DA29E9D75C504BE595B2EBDD5F3342B9"/>
              </w:placeholder>
            </w:sdtPr>
            <w:sdtContent>
              <w:p>
                <w:pPr>
                  <w:keepNext/>
                  <w:keepLines/>
                  <w:jc w:val="center"/>
                  <w:rPr>
                    <w:rFonts w:ascii="Arial" w:hAnsi="Arial" w:cs="Arial"/>
                  </w:rPr>
                </w:pPr>
                <w:r>
                  <w:rPr>
                    <w:rFonts w:ascii="Arial" w:hAnsi="Arial" w:cs="Arial"/>
                  </w:rPr>
                  <w:t> </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C9F8339379048DD98AAF43C07152CAE"/>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DA48B8475F741CFA0C1102E2634B86A"/>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3C5348831F734844B4B92B869433D83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Za Úřad práce vyřizuje:</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2BB98843F1154C3789F7CFC76A67B1B6"/>
          </w:placeholder>
        </w:sdtPr>
        <w:sdtContent>
          <w:r>
            <w:rPr>
              <w:rFonts w:ascii="Arial" w:hAnsi="Arial" w:cs="Arial"/>
              <w:noProof/>
              <w:sz w:val="22"/>
              <w:szCs w:val="22"/>
            </w:rPr>
            <w:t>fordinalova1 dev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F039CB18A8A340A7B138CE1A36FF64B6"/>
          </w:placeholder>
        </w:sdtPr>
        <w:sdtContent>
          <w:r>
            <w:rPr>
              <w:rFonts w:ascii="Arial" w:hAnsi="Arial" w:cs="Arial"/>
              <w:noProof/>
              <w:sz w:val="22"/>
              <w:szCs w:val="22"/>
            </w:rPr>
            <w:t> </w:t>
          </w:r>
        </w:sdtContent>
      </w:sdt>
      <w:r>
        <w:rPr>
          <w:rFonts w:ascii="Arial" w:hAnsi="Arial" w:cs="Arial"/>
          <w:sz w:val="22"/>
          <w:szCs w:val="22"/>
        </w:rPr>
        <w:t xml:space="preserve"> </w:t>
      </w:r>
      <w:bookmarkEnd w:id="1"/>
      <w:bookmarkEnd w:id="2"/>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1080911784"/>
        <w:lock w:val="sdtContentLocked"/>
        <w:placeholder>
          <w:docPart w:val="47DCDC7537534D92A27A592089DB6F76"/>
        </w:placeholder>
      </w:sdtPr>
      <w:sdtContent>
        <w:r>
          <w:rPr>
            <w:rFonts w:ascii="Arial" w:hAnsi="Arial" w:cs="Arial"/>
            <w:i/>
          </w:rPr>
          <w:t>PPM-PFR-9/2020</w:t>
        </w:r>
      </w:sdtContent>
    </w:sdt>
    <w:r>
      <w:rPr>
        <w:rFonts w:ascii="Arial" w:hAnsi="Arial" w:cs="Arial"/>
        <w:i/>
      </w:rPr>
      <w:tab/>
      <w:t xml:space="preserve">strana </w:t>
    </w:r>
    <w:r>
      <w:rPr>
        <w:rStyle w:val="PageNumber"/>
        <w:rFonts w:ascii="Arial" w:hAnsi="Arial" w:cs="Arial"/>
        <w:i/>
      </w:rPr>
      <w:fldChar w:fldCharType="begin"/>
    </w:r>
    <w:r>
      <w:rPr>
        <w:rStyle w:val="PageNumber"/>
        <w:rFonts w:ascii="Arial" w:hAnsi="Arial" w:cs="Arial"/>
      </w:rPr>
      <w:instrText xml:space="preserve"> PAGE </w:instrText>
    </w:r>
    <w:r>
      <w:rPr>
        <w:rStyle w:val="PageNumber"/>
        <w:rFonts w:ascii="Arial" w:hAnsi="Arial" w:cs="Arial"/>
        <w:i/>
      </w:rPr>
      <w:fldChar w:fldCharType="separate"/>
    </w:r>
    <w:r>
      <w:rPr>
        <w:rStyle w:val="PageNumber"/>
        <w:rFonts w:ascii="Arial" w:hAnsi="Arial" w:cs="Arial"/>
        <w:i/>
      </w:rPr>
      <w:t>1</w:t>
    </w:r>
    <w:r>
      <w:rPr>
        <w:rStyle w:val="PageNumber"/>
        <w:rFonts w:ascii="Arial" w:hAnsi="Arial" w:cs="Arial"/>
        <w:i/>
      </w:rPr>
      <w:fldChar w:fldCharType="end"/>
    </w:r>
  </w:p>
  <w:p>
    <w:pPr>
      <w:rPr>
        <w:rFonts w:ascii="Arial" w:hAnsi="Arial" w:cs="Arial"/>
        <w:i/>
        <w:iCs/>
        <w:sz w:val="16"/>
        <w:szCs w:val="16"/>
      </w:rPr>
    </w:pPr>
    <w:r>
      <w:rPr>
        <w:rFonts w:ascii="Arial" w:hAnsi="Arial" w:cs="Arial"/>
        <w:i/>
        <w:sz w:val="16"/>
        <w:szCs w:val="16"/>
      </w:rPr>
      <w:t>MPSV – OSÚ</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576983875"/>
        <w:lock w:val="sdtContentLocked"/>
        <w:placeholder>
          <w:docPart w:val="F292CE62DD524BA08B8846F79C4ACA3F"/>
        </w:placeholder>
      </w:sdtPr>
      <w:sdtContent>
        <w:r>
          <w:rPr>
            <w:rFonts w:ascii="Arial" w:hAnsi="Arial" w:cs="Arial"/>
            <w:i/>
          </w:rPr>
          <w:t>PPM-PFR-9/2020</w:t>
        </w:r>
      </w:sdtContent>
    </w:sdt>
    <w:r>
      <w:rPr>
        <w:rFonts w:ascii="Arial" w:hAnsi="Arial" w:cs="Arial"/>
        <w:i/>
      </w:rPr>
      <w:tab/>
      <w:t xml:space="preserve">strana </w:t>
    </w:r>
    <w:r>
      <w:rPr>
        <w:rStyle w:val="PageNumber"/>
        <w:rFonts w:ascii="Arial" w:hAnsi="Arial" w:cs="Arial"/>
        <w:i/>
      </w:rPr>
      <w:fldChar w:fldCharType="begin"/>
    </w:r>
    <w:r>
      <w:rPr>
        <w:rStyle w:val="PageNumber"/>
        <w:rFonts w:ascii="Arial" w:hAnsi="Arial" w:cs="Arial"/>
      </w:rPr>
      <w:instrText xml:space="preserve"> PAGE </w:instrText>
    </w:r>
    <w:r>
      <w:rPr>
        <w:rStyle w:val="PageNumber"/>
        <w:rFonts w:ascii="Arial" w:hAnsi="Arial" w:cs="Arial"/>
        <w:i/>
      </w:rPr>
      <w:fldChar w:fldCharType="separate"/>
    </w:r>
    <w:r>
      <w:rPr>
        <w:rStyle w:val="PageNumber"/>
        <w:rFonts w:ascii="Arial" w:hAnsi="Arial" w:cs="Arial"/>
        <w:i/>
      </w:rPr>
      <w:t>1</w:t>
    </w:r>
    <w:r>
      <w:rPr>
        <w:rStyle w:val="PageNumber"/>
        <w:rFonts w:ascii="Arial" w:hAnsi="Arial" w:cs="Arial"/>
        <w:i/>
      </w:rPr>
      <w:fldChar w:fldCharType="end"/>
    </w:r>
  </w:p>
  <w:p>
    <w:pPr>
      <w:rPr>
        <w:rFonts w:ascii="Arial" w:hAnsi="Arial" w:cs="Arial"/>
        <w:i/>
        <w:iCs/>
        <w:sz w:val="16"/>
        <w:szCs w:val="16"/>
      </w:rPr>
    </w:pPr>
    <w:r>
      <w:rPr>
        <w:rFonts w:ascii="Arial" w:hAnsi="Arial" w:cs="Arial"/>
        <w:i/>
        <w:sz w:val="16"/>
        <w:szCs w:val="16"/>
      </w:rPr>
      <w:t>MPSV – OSÚ</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3439681"/>
  <w:bookmarkStart w:id="4" w:name="_Hlk33439682"/>
  <w:bookmarkStart w:id="5" w:name="_Hlk34033605"/>
  <w:bookmarkStart w:id="6" w:name="_Hlk34033606"/>
  <w:bookmarkStart w:id="7" w:name="_Hlk34034624"/>
  <w:bookmarkStart w:id="8" w:name="_Hlk34034625"/>
  <w:p>
    <w:pPr>
      <w:pStyle w:val="Header"/>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3863756" cy="881565"/>
              <wp:effectExtent l="0" t="0" r="381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documentProtection w:edit="readOnly" w:enforcement="1" w:cryptProviderType="rsaAES" w:cryptAlgorithmClass="hash" w:cryptAlgorithmType="typeAny" w:cryptAlgorithmSid="14" w:cryptSpinCount="100000" w:hash="GPppLhN3nJCHPRYQPIS1XcppIKXjkUx/ZRWD/20zSDTIqu5gFLb43Uru6Y+y5uR8KIGZ92vo4UVq0cKhkyXhkw==" w:salt="FH7F5Mt/NfTLOnGkHI2w3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 w:type="paragraph" w:customStyle="1" w:styleId="Zhlavdohody">
    <w:name w:val="Záhlaví dohody"/>
    <w:basedOn w:val="Normal"/>
    <w:pPr>
      <w:spacing w:before="240" w:after="240"/>
      <w:jc w:val="center"/>
    </w:pPr>
    <w:rPr>
      <w:rFonts w:ascii="Arial" w:hAnsi="Arial" w:cs="Arial"/>
      <w:b/>
      <w:sz w:val="28"/>
      <w:szCs w:val="28"/>
      <w:lang w:val="cs-CZ" w:eastAsia="cs-CZ"/>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233">
      <w:bodyDiv w:val="1"/>
      <w:marLeft w:val="0"/>
      <w:marRight w:val="0"/>
      <w:marTop w:val="0"/>
      <w:marBottom w:val="0"/>
      <w:divBdr>
        <w:top w:val="none" w:sz="0" w:space="0" w:color="auto"/>
        <w:left w:val="none" w:sz="0" w:space="0" w:color="auto"/>
        <w:bottom w:val="none" w:sz="0" w:space="0" w:color="auto"/>
        <w:right w:val="none" w:sz="0" w:space="0" w:color="auto"/>
      </w:divBdr>
    </w:div>
    <w:div w:id="337001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1"/>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1"/>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0"/>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0"/>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0"/>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0"/>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0"/>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0"/>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0"/>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0"/>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0"/>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5"/>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5"/>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5"/>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5"/>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5"/>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5"/>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5"/>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5"/>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4"/>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4"/>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4"/>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4"/>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4"/>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1"/>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1"/>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r>
            <w:rPr>
              <w:rStyle w:val="PlaceholderText"/>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
          </w:pPr>
          <w:r>
            <w:rPr>
              <w:rStyle w:val="PlaceholderText"/>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
          </w:pPr>
          <w:r>
            <w:rPr>
              <w:rStyle w:val="PlaceholderText"/>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
          </w:pPr>
          <w:r>
            <w:rPr>
              <w:rStyle w:val="PlaceholderText"/>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
          </w:pPr>
          <w:r>
            <w:rPr>
              <w:rStyle w:val="PlaceholderText"/>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
          </w:pPr>
          <w:r>
            <w:rPr>
              <w:rStyle w:val="PlaceholderText"/>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
          </w:pPr>
          <w:r>
            <w:rPr>
              <w:rStyle w:val="PlaceholderText"/>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
          </w:pPr>
          <w:r>
            <w:rPr>
              <w:rStyle w:val="PlaceholderText"/>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
          </w:pPr>
          <w:r>
            <w:rPr>
              <w:rStyle w:val="PlaceholderText"/>
            </w:rPr>
            <w:t>Click here to enter text.</w:t>
          </w:r>
        </w:p>
      </w:docPartBody>
    </w:docPart>
    <w:docPart>
      <w:docPartPr>
        <w:name w:val="B819802E8F404E598620FFCFF954D4C6"/>
        <w:category>
          <w:name w:val="Obecné"/>
          <w:gallery w:val="placeholder"/>
        </w:category>
        <w:types>
          <w:type w:val="bbPlcHdr"/>
        </w:types>
        <w:behaviors>
          <w:behavior w:val="content"/>
        </w:behaviors>
        <w:guid w:val="{6B2B3171-21A5-4282-9157-DCA13F02892F}"/>
      </w:docPartPr>
      <w:docPartBody>
        <w:p>
          <w:pPr>
            <w:pStyle w:val="B819802E8F404E598620FFCFF954D4C6"/>
          </w:pPr>
          <w:r>
            <w:rPr>
              <w:rFonts w:ascii="Arial" w:eastAsia="Arial" w:hAnsi="Arial" w:cs="Arial"/>
              <w:b/>
              <w:sz w:val="24"/>
              <w:szCs w:val="24"/>
            </w:rPr>
            <w:t>Click here to enter text.</w:t>
          </w:r>
        </w:p>
      </w:docPartBody>
    </w:docPart>
    <w:docPart>
      <w:docPartPr>
        <w:name w:val="D54F69410E4440E58D3585E518BAA35B"/>
        <w:category>
          <w:name w:val="Obecné"/>
          <w:gallery w:val="placeholder"/>
        </w:category>
        <w:types>
          <w:type w:val="bbPlcHdr"/>
        </w:types>
        <w:behaviors>
          <w:behavior w:val="content"/>
        </w:behaviors>
        <w:guid w:val="{56767FDD-004E-44E1-894C-567EFFC4900E}"/>
      </w:docPartPr>
      <w:docPartBody>
        <w:p>
          <w:pPr>
            <w:pStyle w:val="D54F69410E4440E58D3585E518BAA35B"/>
          </w:pPr>
          <w:r>
            <w:rPr>
              <w:rStyle w:val="PlaceholderText"/>
              <w:rFonts w:ascii="Arial" w:hAnsi="Arial" w:cs="Arial"/>
            </w:rPr>
            <w:t>Click or tap here to enter text.</w:t>
          </w:r>
        </w:p>
      </w:docPartBody>
    </w:docPart>
    <w:docPart>
      <w:docPartPr>
        <w:name w:val="6EC23BEE41214B01B8A4605A2596DE39"/>
        <w:category>
          <w:name w:val="Obecné"/>
          <w:gallery w:val="placeholder"/>
        </w:category>
        <w:types>
          <w:type w:val="bbPlcHdr"/>
        </w:types>
        <w:behaviors>
          <w:behavior w:val="content"/>
        </w:behaviors>
        <w:guid w:val="{61A7860D-7DF9-41A9-ACE6-59EDF753126A}"/>
      </w:docPartPr>
      <w:docPartBody>
        <w:p>
          <w:pPr>
            <w:pStyle w:val="6EC23BEE41214B01B8A4605A2596DE39"/>
          </w:pPr>
          <w:r>
            <w:rPr>
              <w:rFonts w:ascii="Arial" w:eastAsia="Arial" w:hAnsi="Arial" w:cs="Arial"/>
            </w:rPr>
            <w:t>Click or tap here to enter text.</w:t>
          </w:r>
        </w:p>
      </w:docPartBody>
    </w:docPart>
    <w:docPart>
      <w:docPartPr>
        <w:name w:val="DA29E9D75C504BE595B2EBDD5F3342B9"/>
        <w:category>
          <w:name w:val="Obecné"/>
          <w:gallery w:val="placeholder"/>
        </w:category>
        <w:types>
          <w:type w:val="bbPlcHdr"/>
        </w:types>
        <w:behaviors>
          <w:behavior w:val="content"/>
        </w:behaviors>
        <w:guid w:val="{5D910212-5633-4F1B-B7DF-691F91A0AE59}"/>
      </w:docPartPr>
      <w:docPartBody>
        <w:p>
          <w:pPr>
            <w:pStyle w:val="DA29E9D75C504BE595B2EBDD5F3342B9"/>
          </w:pPr>
          <w:r>
            <w:rPr>
              <w:rStyle w:val="PlaceholderText"/>
              <w:rFonts w:ascii="Arial" w:hAnsi="Arial" w:cs="Arial"/>
            </w:rPr>
            <w:t>Click or tap here to enter text.</w:t>
          </w:r>
        </w:p>
      </w:docPartBody>
    </w:docPart>
    <w:docPart>
      <w:docPartPr>
        <w:name w:val="2BB98843F1154C3789F7CFC76A67B1B6"/>
        <w:category>
          <w:name w:val="Obecné"/>
          <w:gallery w:val="placeholder"/>
        </w:category>
        <w:types>
          <w:type w:val="bbPlcHdr"/>
        </w:types>
        <w:behaviors>
          <w:behavior w:val="content"/>
        </w:behaviors>
        <w:guid w:val="{FB3CCA93-970F-4B6B-8C0A-164E687B4FCB}"/>
      </w:docPartPr>
      <w:docPartBody>
        <w:p>
          <w:pPr>
            <w:pStyle w:val="2BB98843F1154C3789F7CFC76A67B1B6"/>
          </w:pPr>
          <w:r>
            <w:rPr>
              <w:rFonts w:ascii="Arial" w:hAnsi="Arial" w:cs="Arial"/>
            </w:rPr>
            <w:t>Click or tap here to enter text.</w:t>
          </w:r>
        </w:p>
      </w:docPartBody>
    </w:docPart>
    <w:docPart>
      <w:docPartPr>
        <w:name w:val="F039CB18A8A340A7B138CE1A36FF64B6"/>
        <w:category>
          <w:name w:val="Obecné"/>
          <w:gallery w:val="placeholder"/>
        </w:category>
        <w:types>
          <w:type w:val="bbPlcHdr"/>
        </w:types>
        <w:behaviors>
          <w:behavior w:val="content"/>
        </w:behaviors>
        <w:guid w:val="{99850F86-4D0D-4884-8C8E-3F50DE0D1979}"/>
      </w:docPartPr>
      <w:docPartBody>
        <w:p>
          <w:pPr>
            <w:pStyle w:val="F039CB18A8A340A7B138CE1A36FF64B6"/>
          </w:pPr>
          <w:r>
            <w:rPr>
              <w:rFonts w:ascii="Arial" w:hAnsi="Arial" w:cs="Arial"/>
            </w:rPr>
            <w:t>Click or tap here to enter text.</w:t>
          </w:r>
        </w:p>
      </w:docPartBody>
    </w:docPart>
    <w:docPart>
      <w:docPartPr>
        <w:name w:val="F292CE62DD524BA08B8846F79C4ACA3F"/>
        <w:category>
          <w:name w:val="Obecné"/>
          <w:gallery w:val="placeholder"/>
        </w:category>
        <w:types>
          <w:type w:val="bbPlcHdr"/>
        </w:types>
        <w:behaviors>
          <w:behavior w:val="content"/>
        </w:behaviors>
        <w:guid w:val="{C3D96825-985B-4325-85A2-441D1A1C4082}"/>
      </w:docPartPr>
      <w:docPartBody>
        <w:p>
          <w:pPr>
            <w:pStyle w:val="F292CE62DD524BA08B8846F79C4ACA3F"/>
          </w:pPr>
          <w:r>
            <w:rPr>
              <w:rStyle w:val="PlaceholderText"/>
            </w:rPr>
            <w:t>Click or tap here to enter text.</w:t>
          </w:r>
        </w:p>
      </w:docPartBody>
    </w:docPart>
    <w:docPart>
      <w:docPartPr>
        <w:name w:val="47DCDC7537534D92A27A592089DB6F76"/>
        <w:category>
          <w:name w:val="Obecné"/>
          <w:gallery w:val="placeholder"/>
        </w:category>
        <w:types>
          <w:type w:val="bbPlcHdr"/>
        </w:types>
        <w:behaviors>
          <w:behavior w:val="content"/>
        </w:behaviors>
        <w:guid w:val="{C87FA79C-558C-40BF-AFEA-310A4B145810}"/>
      </w:docPartPr>
      <w:docPartBody>
        <w:p>
          <w:pPr>
            <w:pStyle w:val="47DCDC7537534D92A27A592089DB6F76"/>
          </w:pPr>
          <w:r>
            <w:rPr>
              <w:rStyle w:val="PlaceholderText"/>
            </w:rPr>
            <w:t>Click or tap here to enter text.</w:t>
          </w:r>
        </w:p>
      </w:docPartBody>
    </w:docPart>
    <w:docPart>
      <w:docPartPr>
        <w:name w:val="2C9F8339379048DD98AAF43C07152CAE"/>
        <w:category>
          <w:name w:val="General"/>
          <w:gallery w:val="placeholder"/>
        </w:category>
        <w:types>
          <w:type w:val="bbPlcHdr"/>
        </w:types>
        <w:behaviors>
          <w:behavior w:val="content"/>
        </w:behaviors>
        <w:guid w:val="{F861EB6F-C487-44E5-8C54-AA8AB88EDACA}"/>
      </w:docPartPr>
      <w:docPartBody>
        <w:p>
          <w:pPr>
            <w:pStyle w:val="2C9F8339379048DD98AAF43C07152CAE"/>
          </w:pPr>
          <w:r>
            <w:rPr>
              <w:rStyle w:val="PlaceholderText"/>
            </w:rPr>
            <w:t>Click or tap here to enter text.</w:t>
          </w:r>
        </w:p>
      </w:docPartBody>
    </w:docPart>
    <w:docPart>
      <w:docPartPr>
        <w:name w:val="9DA48B8475F741CFA0C1102E2634B86A"/>
        <w:category>
          <w:name w:val="General"/>
          <w:gallery w:val="placeholder"/>
        </w:category>
        <w:types>
          <w:type w:val="bbPlcHdr"/>
        </w:types>
        <w:behaviors>
          <w:behavior w:val="content"/>
        </w:behaviors>
        <w:guid w:val="{A75BAE94-5E14-4E18-A23F-A4FCEAF44D68}"/>
      </w:docPartPr>
      <w:docPartBody>
        <w:p>
          <w:pPr>
            <w:pStyle w:val="9DA48B8475F741CFA0C1102E2634B86A"/>
          </w:pPr>
          <w:r>
            <w:rPr>
              <w:rStyle w:val="PlaceholderText"/>
            </w:rPr>
            <w:t>Click or tap here to enter text.</w:t>
          </w:r>
        </w:p>
      </w:docPartBody>
    </w:docPart>
    <w:docPart>
      <w:docPartPr>
        <w:name w:val="3C5348831F734844B4B92B869433D834"/>
        <w:category>
          <w:name w:val="General"/>
          <w:gallery w:val="placeholder"/>
        </w:category>
        <w:types>
          <w:type w:val="bbPlcHdr"/>
        </w:types>
        <w:behaviors>
          <w:behavior w:val="content"/>
        </w:behaviors>
        <w:guid w:val="{A5F1F720-9E18-4BBB-A4BC-38A80A075EC5}"/>
      </w:docPartPr>
      <w:docPartBody>
        <w:p>
          <w:pPr>
            <w:pStyle w:val="3C5348831F734844B4B92B869433D83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B819802E8F404E598620FFCFF954D4C6">
    <w:name w:val="B819802E8F404E598620FFCFF954D4C6"/>
  </w:style>
  <w:style w:type="paragraph" w:customStyle="1" w:styleId="D54F69410E4440E58D3585E518BAA35B">
    <w:name w:val="D54F69410E4440E58D3585E518BAA35B"/>
  </w:style>
  <w:style w:type="paragraph" w:customStyle="1" w:styleId="6EC23BEE41214B01B8A4605A2596DE39">
    <w:name w:val="6EC23BEE41214B01B8A4605A2596DE39"/>
  </w:style>
  <w:style w:type="paragraph" w:customStyle="1" w:styleId="DA29E9D75C504BE595B2EBDD5F3342B9">
    <w:name w:val="DA29E9D75C504BE595B2EBDD5F3342B9"/>
  </w:style>
  <w:style w:type="paragraph" w:customStyle="1" w:styleId="2BB98843F1154C3789F7CFC76A67B1B6">
    <w:name w:val="2BB98843F1154C3789F7CFC76A67B1B6"/>
  </w:style>
  <w:style w:type="paragraph" w:customStyle="1" w:styleId="F039CB18A8A340A7B138CE1A36FF64B6">
    <w:name w:val="F039CB18A8A340A7B138CE1A36FF64B6"/>
  </w:style>
  <w:style w:type="paragraph" w:customStyle="1" w:styleId="F292CE62DD524BA08B8846F79C4ACA3F">
    <w:name w:val="F292CE62DD524BA08B8846F79C4ACA3F"/>
  </w:style>
  <w:style w:type="paragraph" w:customStyle="1" w:styleId="F748D789F9DE44B38D5C8676E01102EF">
    <w:name w:val="F748D789F9DE44B38D5C8676E01102EF"/>
  </w:style>
  <w:style w:type="paragraph" w:customStyle="1" w:styleId="47DCDC7537534D92A27A592089DB6F76">
    <w:name w:val="47DCDC7537534D92A27A592089DB6F76"/>
  </w:style>
  <w:style w:type="paragraph" w:customStyle="1" w:styleId="DE4A939968F6449E97DA3AF17A616CFC">
    <w:name w:val="DE4A939968F6449E97DA3AF17A616CFC"/>
    <w:rPr>
      <w:lang w:val="en-US" w:eastAsia="en-US"/>
    </w:rPr>
  </w:style>
  <w:style w:type="paragraph" w:customStyle="1" w:styleId="2C9F8339379048DD98AAF43C07152CAE">
    <w:name w:val="2C9F8339379048DD98AAF43C07152CAE"/>
    <w:rPr>
      <w:lang w:val="en-US" w:eastAsia="en-US"/>
    </w:rPr>
  </w:style>
  <w:style w:type="paragraph" w:customStyle="1" w:styleId="9DA48B8475F741CFA0C1102E2634B86A">
    <w:name w:val="9DA48B8475F741CFA0C1102E2634B86A"/>
    <w:rPr>
      <w:lang w:val="en-US" w:eastAsia="en-US"/>
    </w:rPr>
  </w:style>
  <w:style w:type="paragraph" w:customStyle="1" w:styleId="3C5348831F734844B4B92B869433D834">
    <w:name w:val="3C5348831F734844B4B92B869433D83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D6982BCC-2649-4586-94D1-653B21C4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1122</Words>
  <Characters>6396</Characters>
  <Application>Microsoft Office Word</Application>
  <DocSecurity>8</DocSecurity>
  <Lines>53</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Fordinálová, Libuša</cp:lastModifiedBy>
  <cp:revision>14</cp:revision>
  <cp:lastPrinted>2017-10-09T13:37:00Z</cp:lastPrinted>
  <dcterms:created xsi:type="dcterms:W3CDTF">2018-03-15T14:35:00Z</dcterms:created>
  <dcterms:modified xsi:type="dcterms:W3CDTF">2020-09-28T12:20:00Z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2020-03-02T12:35:49.0872229Z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94629f97-cb92-431d-8ecc-2cf62c526065</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2020-03-02T12:35:49.0872229Z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94629f97-cb92-431d-8ecc-2cf62c526065</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