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Arial" w:eastAsia="Arial" w:hAnsi="Arial" w:cs="Arial"/>
          <w:b/>
          <w:sz w:val="22"/>
          <w:szCs w:val="22"/>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6B0333614C814E939768E9968875D346"/>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6FBCACA5A8314586A2D035D7B0CB4412"/>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zřízení společensky účelných pracovních míst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PPM-S-117/2019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XXXXXXXXXXXXXXXXXXXXX</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I</w:t>
          </w:r>
          <w:r>
            <w:rPr>
              <w:rFonts w:ascii="Arial" w:hAnsi="Arial" w:cs="Arial"/>
              <w:sz w:val="24"/>
              <w:szCs w:val="24"/>
              <w:lang w:val="cs-CZ"/>
            </w:rPr>
            <w:br/>
          </w:r>
          <w:r>
            <w:rPr>
              <w:rFonts w:ascii="Arial" w:hAnsi="Arial" w:cs="Arial"/>
              <w:b/>
              <w:bCs/>
              <w:sz w:val="24"/>
              <w:szCs w:val="24"/>
              <w:lang w:val="cs-CZ"/>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2€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25 vyhlášky č. 518/2004 Sb., kterou se provádí zákon č. 435/2004 Sb., o zaměstnanosti, za účelem zřízení společensky účelných pracovních míst a poskytnutí příspěvku na jejich zřízení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II</w:t>
          </w:r>
          <w:r>
            <w:rPr>
              <w:rFonts w:ascii="Arial" w:hAnsi="Arial" w:cs="Arial"/>
              <w:sz w:val="24"/>
              <w:szCs w:val="24"/>
              <w:lang w:val="cs-CZ"/>
            </w:rPr>
            <w:br/>
          </w:r>
          <w:r>
            <w:rPr>
              <w:rFonts w:ascii="Arial" w:hAnsi="Arial" w:cs="Arial"/>
              <w:b/>
              <w:bCs/>
              <w:sz w:val="24"/>
              <w:szCs w:val="24"/>
              <w:lang w:val="cs-CZ"/>
            </w:rPr>
            <w:t>Závazky zaměstnavatele a podmínky poskytnutí příspěvku</w:t>
          </w:r>
        </w:p>
        <w:p>
          <w:pPr>
            <w:jc w:val="center"/>
            <w:rPr>
              <w:rFonts w:ascii="Arial" w:eastAsia="Arial" w:hAnsi="Arial" w:cs="Arial"/>
              <w:b/>
              <w:sz w:val="22"/>
              <w:szCs w:val="22"/>
              <w:lang w:val="cs-CZ"/>
            </w:rPr>
          </w:pPr>
        </w:p>
      </w:sdtContent>
    </w:sdt>
    <w:sdt>
      <w:sdtPr>
        <w:rPr>
          <w:sz w:val="22"/>
          <w:szCs w:val="22"/>
        </w:rPr>
        <w:tag w:val="$€TEXT_1€DokumentVarTextFcd_getTextWithCode"/>
        <w:id w:val="53056520"/>
        <w:lock w:val="sdtContentLocked"/>
        <w:placeholder>
          <w:docPart w:val="40FAF1C424A049AB944BFA3D499226F7"/>
        </w:placeholder>
      </w:sdtPr>
      <w:sdtContent>
        <w:p>
          <w:pPr>
            <w:pStyle w:val="Boddohody"/>
            <w:keepLines w:val="0"/>
            <w:spacing w:before="120"/>
            <w:rPr>
              <w:sz w:val="22"/>
              <w:szCs w:val="22"/>
            </w:rPr>
          </w:pPr>
          <w:r>
            <w:rPr>
              <w:sz w:val="22"/>
              <w:szCs w:val="22"/>
            </w:rPr>
            <w:t>Úřad práce poskytne zaměstnavateli příspěvek za těchto podmínek:</w:t>
          </w:r>
        </w:p>
      </w:sdtContent>
    </w:sdt>
    <w:p>
      <w:pPr>
        <w:rPr>
          <w:rFonts w:eastAsia="Arial"/>
          <w:lang w:val="cs-CZ" w:eastAsia="cs-CZ"/>
        </w:rPr>
      </w:pPr>
    </w:p>
    <w:sdt>
      <w:sdtPr>
        <w:rPr>
          <w:sz w:val="22"/>
          <w:szCs w:val="22"/>
        </w:rPr>
        <w:tag w:val="$€CLANEK_II_1€DokumentVarTextFcd_getTextWithCode"/>
        <w:id w:val="-713190517"/>
        <w:lock w:val="sdtContentLocked"/>
        <w:placeholder>
          <w:docPart w:val="12A892F62B684CCD8DF7277C303BDD8C"/>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zřídí nejdříve ode dne účinnosti této dohody níže uvedená společensky účelná pracovní místa (dále jen „pracovní místa").</w:t>
                </w:r>
              </w:p>
            </w:tc>
          </w:tr>
        </w:tbl>
        <w:p>
          <w:pPr>
            <w:pStyle w:val="Boddohody"/>
            <w:keepLines w:val="0"/>
            <w:spacing w:before="0"/>
            <w:rPr>
              <w:sz w:val="22"/>
              <w:szCs w:val="22"/>
            </w:rPr>
          </w:pPr>
        </w:p>
      </w:sdtContent>
    </w:sdt>
    <w:sdt>
      <w:sdtPr>
        <w:rPr>
          <w:sz w:val="22"/>
          <w:szCs w:val="22"/>
        </w:rPr>
        <w:alias w:val="TABULKA"/>
        <w:tag w:val="$Table$DohodaSUPMZ"/>
        <w:id w:val="-1949927926"/>
        <w:lock w:val="sdtContentLocked"/>
        <w:placeholder>
          <w:docPart w:val="D59D2372A1D54C239A46C167A8F26EC9"/>
        </w:placeholder>
      </w:sdtPr>
      <w:sdtContent>
        <w:p>
          <w:pPr>
            <w:pStyle w:val="Boddohody"/>
            <w:spacing w:before="120"/>
            <w:rPr>
              <w:sz w:val="22"/>
              <w:szCs w:val="22"/>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3401"/>
            <w:gridCol w:w="3401"/>
            <w:gridCol w:w="1701"/>
            <w:gridCol w:w="1134"/>
          </w:tblGrid>
          <w:tr>
            <w:trPr>
              <w:cantSplit/>
              <w:tblHeader/>
            </w:trPr>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lang w:val="cs-CZ"/>
                  </w:rPr>
                </w:pPr>
                <w:r>
                  <w:rPr>
                    <w:rFonts w:ascii="Arial" w:hAnsi="Arial" w:cs="Arial"/>
                    <w:b/>
                    <w:bCs/>
                    <w:sz w:val="24"/>
                    <w:szCs w:val="24"/>
                    <w:lang w:val="cs-CZ"/>
                  </w:rPr>
                  <w:t>Druh práce</w:t>
                </w:r>
              </w:p>
            </w:tc>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lang w:val="cs-CZ"/>
                  </w:rPr>
                </w:pPr>
                <w:r>
                  <w:rPr>
                    <w:rFonts w:ascii="Arial" w:hAnsi="Arial" w:cs="Arial"/>
                    <w:b/>
                    <w:bCs/>
                    <w:sz w:val="24"/>
                    <w:szCs w:val="24"/>
                    <w:lang w:val="cs-CZ"/>
                  </w:rPr>
                  <w:t>Místo výkonu práce</w:t>
                </w:r>
              </w:p>
            </w:tc>
            <w:tc>
              <w:tcPr>
                <w:tcW w:w="17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lang w:val="cs-CZ"/>
                  </w:rPr>
                </w:pPr>
                <w:r>
                  <w:rPr>
                    <w:rFonts w:ascii="Arial" w:hAnsi="Arial" w:cs="Arial"/>
                    <w:b/>
                    <w:bCs/>
                    <w:sz w:val="24"/>
                    <w:szCs w:val="24"/>
                    <w:lang w:val="cs-CZ"/>
                  </w:rPr>
                  <w:t>Výše příspěvkuna 1 prac. místo</w:t>
                </w:r>
              </w:p>
            </w:tc>
            <w:tc>
              <w:tcPr>
                <w:tcW w:w="1134"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lang w:val="cs-CZ"/>
                  </w:rPr>
                </w:pPr>
                <w:r>
                  <w:rPr>
                    <w:rFonts w:ascii="Arial" w:hAnsi="Arial" w:cs="Arial"/>
                    <w:b/>
                    <w:bCs/>
                    <w:sz w:val="24"/>
                    <w:szCs w:val="24"/>
                    <w:lang w:val="cs-CZ"/>
                  </w:rPr>
                  <w:t>Počet míst</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Kuchaři (kromě šéfkuchařů)</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Křenova 438/7, 162 00  Praha, Veleslavín, Praha 6</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200 000 Kč</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1</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cs-CZ"/>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cs-CZ"/>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Počet míst celkem</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1</w:t>
                </w:r>
              </w:p>
            </w:tc>
          </w:tr>
        </w:tbl>
        <w:p>
          <w:pPr>
            <w:pStyle w:val="Boddohody"/>
            <w:spacing w:before="120"/>
          </w:pPr>
        </w:p>
      </w:sdtContent>
    </w:sdt>
    <w:sdt>
      <w:sdtPr>
        <w:rPr>
          <w:rFonts w:ascii="Arial" w:hAnsi="Arial" w:cs="Arial"/>
          <w:sz w:val="22"/>
          <w:szCs w:val="22"/>
        </w:rPr>
        <w:tag w:val="$€CLANEK_II_2€DokumentVarTextFcd_getTextWithCode"/>
        <w:id w:val="1021432645"/>
        <w:lock w:val="sdtContentLocked"/>
        <w:placeholder>
          <w:docPart w:val="E92663E84FF544198FCAB620DDF68E45"/>
        </w:placeholder>
      </w:sdt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bude obsazovat pracovní místa výhradně uchazeči o zaměstnání, jejichž nástup bude schválen nebo doporučen Úřadem práce (dále jen „doporučený uchazeč o zaměstnání“).</w:t>
                </w:r>
              </w:p>
            </w:tc>
          </w:tr>
        </w:tbl>
        <w:p>
          <w:pPr>
            <w:spacing w:before="120"/>
            <w:rPr>
              <w:rFonts w:ascii="Arial" w:hAnsi="Arial" w:cs="Arial"/>
              <w:sz w:val="22"/>
              <w:szCs w:val="22"/>
            </w:rPr>
          </w:pPr>
        </w:p>
      </w:sdtContent>
    </w:sdt>
    <w:sdt>
      <w:sdtPr>
        <w:rPr>
          <w:rFonts w:ascii="Arial" w:hAnsi="Arial" w:cs="Arial"/>
          <w:sz w:val="22"/>
          <w:szCs w:val="22"/>
        </w:rPr>
        <w:tag w:val="$€CLANEK_II_3€DokumentVarTextFcd_getTextWithCode"/>
        <w:id w:val="32244043"/>
        <w:lock w:val="sdtContentLocked"/>
        <w:placeholder>
          <w:docPart w:val="6126AB365DEB49608FA915AF583CF9BC"/>
        </w:placeholder>
      </w:sdt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obsadí pracovní místa nejpozději do 29.08.2019.</w:t>
                </w:r>
              </w:p>
            </w:tc>
          </w:tr>
        </w:tbl>
        <w:p>
          <w:pPr>
            <w:spacing w:before="120"/>
            <w:rPr>
              <w:rFonts w:ascii="Arial" w:hAnsi="Arial" w:cs="Arial"/>
              <w:sz w:val="22"/>
              <w:szCs w:val="22"/>
            </w:rPr>
          </w:pPr>
        </w:p>
      </w:sdtContent>
    </w:sdt>
    <w:sdt>
      <w:sdtPr>
        <w:rPr>
          <w:rFonts w:ascii="Arial" w:hAnsi="Arial" w:cs="Arial"/>
          <w:sz w:val="22"/>
          <w:szCs w:val="22"/>
        </w:rPr>
        <w:tag w:val="$€CLANEK_II_4€DokumentVarTextFcd_getTextWithCode"/>
        <w:id w:val="-2060470693"/>
        <w:lock w:val="sdtContentLocked"/>
        <w:placeholder>
          <w:docPart w:val="F7470C35FFBD4D62A98B046C6A3D7650"/>
        </w:placeholder>
      </w:sdt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Doba obsazení každého pracovního místa musí činit alespoň 10 kalendářních dnů a musí být splněna nejpozději do 29.08.2019. Za dobu obsazení pracovního místa se považuje doba, po kterou trvá pracovní poměr umístěného uchazeče o zaměstnání.</w:t>
                </w:r>
              </w:p>
            </w:tc>
          </w:tr>
        </w:tbl>
        <w:p>
          <w:pPr>
            <w:spacing w:before="120"/>
            <w:rPr>
              <w:rFonts w:ascii="Arial" w:hAnsi="Arial" w:cs="Arial"/>
              <w:sz w:val="22"/>
              <w:szCs w:val="22"/>
            </w:rPr>
          </w:pPr>
        </w:p>
      </w:sdtContent>
    </w:sdt>
    <w:sdt>
      <w:sdtPr>
        <w:rPr>
          <w:rFonts w:ascii="Arial" w:hAnsi="Arial" w:cs="Arial"/>
          <w:sz w:val="22"/>
          <w:szCs w:val="22"/>
        </w:rPr>
        <w:tag w:val="$€CLANEK_II_5€DokumentVarTextFcd_getTextWithCode"/>
        <w:id w:val="-1161003201"/>
        <w:lock w:val="sdtContentLocked"/>
        <w:placeholder>
          <w:docPart w:val="2A7AF9895ACF4AEE8E4913E8109468E6"/>
        </w:placeholder>
      </w:sdt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použije příspěvek výhradně na krytí nebo úhradu nákladových položek, které souvisí se zřízením pracovního místa, dnem pořízení přejdou do jeho vlastnictví a jsou uvedeny v seznamu uznatelných nákladových položek. Seznam je přílohou č. 1 této dohody. Příspěvek nemusí být použit na krytí nebo úhradu všech nákladových položek (dále jen „vybavení“) uvedených v tomto seznamu.</w:t>
                </w:r>
              </w:p>
            </w:tc>
          </w:tr>
        </w:tbl>
        <w:p>
          <w:pPr>
            <w:spacing w:before="120"/>
            <w:rPr>
              <w:rFonts w:ascii="Arial" w:hAnsi="Arial" w:cs="Arial"/>
              <w:sz w:val="22"/>
              <w:szCs w:val="22"/>
            </w:rPr>
          </w:pPr>
        </w:p>
      </w:sdtContent>
    </w:sdt>
    <w:sdt>
      <w:sdtPr>
        <w:rPr>
          <w:sz w:val="22"/>
          <w:szCs w:val="22"/>
        </w:rPr>
        <w:tag w:val="$€CLANEK_II_6€DokumentVarTextFcd_getTextWithCode"/>
        <w:id w:val="-2038724999"/>
        <w:lock w:val="sdtContentLocked"/>
        <w:placeholder>
          <w:docPart w:val="E71E0EE2FC6648BCB472DB19EDBE1FA1"/>
        </w:placeholder>
      </w:sdtPr>
      <w:sdtEndPr>
        <w:rPr>
          <w:rFonts w:ascii="Arial" w:hAnsi="Arial" w:cs="Arial"/>
          <w:sz w:val="20"/>
          <w:szCs w:val="20"/>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Příspěvek může být zaměstnavatelem použit jen na krytí a úhradu nákladů, které vzniknou a budou uhrazeny v době od nabytí účinnosti této dohody do 29.08.2019.</w:t>
                </w:r>
              </w:p>
            </w:tc>
          </w:tr>
        </w:tbl>
        <w:p>
          <w:pPr>
            <w:pStyle w:val="Boddohody"/>
            <w:spacing w:before="120"/>
            <w:rPr>
              <w:sz w:val="22"/>
              <w:szCs w:val="22"/>
            </w:rPr>
          </w:pPr>
        </w:p>
      </w:sdtContent>
    </w:sdt>
    <w:sdt>
      <w:sdtPr>
        <w:rPr>
          <w:sz w:val="22"/>
          <w:szCs w:val="22"/>
        </w:rPr>
        <w:tag w:val="$€CLANEK_II_7€DokumentVarTextFcd_getTextWithCode"/>
        <w:id w:val="-1813473045"/>
        <w:lock w:val="sdtContentLocked"/>
        <w:placeholder>
          <w:docPart w:val="F97D0CA19A3F48EE9A01C0229305AAFE"/>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doloží Úřadu práce do 29.08.2019 (tj. do posledního pracovního dne měsíce následujícího po dni uvedeném jako poslední možný den pro použití příspěvku v bodu 6. tohoto článku) účetní doklady nebo podklady pro zaúčtování (faktura, paragon, stvrzenka, bankovní výpis apod., které budou následně zavedeny do účetních záznamů) splňující náležitosti účetního dokladu dle zákona č. 563/1991 Sb., o účetnictví, ve znění pozdějších předpisů, které prokazují použití a čerpání příspěvku podle bodů 5. a 6. tohoto článku dohody. Doložení těchto dokladů nebo podkladů pro zaúčtování je považováno za splnění povinnosti dle ustanovení § 146 odstavce 1 zákona o zaměstnanosti.</w:t>
                </w:r>
              </w:p>
            </w:tc>
          </w:tr>
        </w:tbl>
        <w:p>
          <w:pPr>
            <w:pStyle w:val="Boddohody"/>
            <w:spacing w:before="120"/>
            <w:rPr>
              <w:sz w:val="22"/>
              <w:szCs w:val="22"/>
            </w:rPr>
          </w:pPr>
        </w:p>
      </w:sdtContent>
    </w:sdt>
    <w:sdt>
      <w:sdtPr>
        <w:rPr>
          <w:sz w:val="22"/>
          <w:szCs w:val="22"/>
        </w:rPr>
        <w:tag w:val="$€CLANEK_II_8€DokumentVarTextFcd_getTextWithCode"/>
        <w:id w:val="-1522853941"/>
        <w:lock w:val="sdtContentLocked"/>
        <w:placeholder>
          <w:docPart w:val="8D8E3649FBD94834A73AA89A75A44E3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si ponechá vybavení pořízené podle bodu 5. tohoto článku dohody ve svém vlastnictví minimálně do 29.08.2019. Tato podmínka neplatí v případě, že Úřad práce udělí zaměstnavateli předchozí písemný souhlas s prodejem pořízené věci nebo zaměstnavatel Úřadu práce prokáže, že došlo k jejímu odcizení, ztrátě nebo zničení.</w:t>
                </w:r>
              </w:p>
            </w:tc>
          </w:tr>
        </w:tbl>
        <w:p>
          <w:pPr>
            <w:pStyle w:val="Boddohody"/>
            <w:spacing w:before="120"/>
          </w:pPr>
        </w:p>
      </w:sdtContent>
    </w:sdt>
    <w:sdt>
      <w:sdtPr>
        <w:rPr>
          <w:sz w:val="22"/>
          <w:szCs w:val="22"/>
        </w:rPr>
        <w:tag w:val="$€CLANEK_II_9€DokumentVarTextFcd_getTextWithCode"/>
        <w:id w:val="64607930"/>
        <w:lock w:val="sdtContentLocked"/>
        <w:placeholder>
          <w:docPart w:val="696C4F3A8DF045D1B191E23A94DDA57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nebude na stejný účel, tj. na tu část nákladů na vybavení, která bude hrazena z příspěvku poskytnutého Úřadem práce, nárokovat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pPr>
        </w:p>
      </w:sdtContent>
    </w:sdt>
    <w:sdt>
      <w:sdtPr>
        <w:rPr>
          <w:sz w:val="22"/>
          <w:szCs w:val="22"/>
        </w:rPr>
        <w:tag w:val="$€CLANEK_II_10€DokumentVarTextFcd_getTextWithCode"/>
        <w:id w:val="-131632860"/>
        <w:lock w:val="sdtContentLocked"/>
        <w:placeholder>
          <w:docPart w:val="E81730C59A28467EA7FAF08674A6FAF4"/>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doručí Úřadu práce pracovní smlouvu uzavřenou s doporučeným uchazečem o zaměstnání nebo její kopii nejpozději do 10 pracovních dnů ode dne vzniku pracovního poměru (den nástupu do práce).</w:t>
                </w:r>
              </w:p>
            </w:tc>
          </w:tr>
        </w:tbl>
        <w:p>
          <w:pPr>
            <w:pStyle w:val="Boddohody"/>
            <w:spacing w:before="120"/>
            <w:rPr>
              <w:sz w:val="22"/>
              <w:szCs w:val="22"/>
            </w:rPr>
          </w:pPr>
        </w:p>
      </w:sdtContent>
    </w:sdt>
    <w:sdt>
      <w:sdtPr>
        <w:rPr>
          <w:sz w:val="22"/>
          <w:szCs w:val="22"/>
        </w:rPr>
        <w:tag w:val="$€CLANEK_II_11€DokumentVarTextFcd_getTextWithCode"/>
        <w:id w:val="228651419"/>
        <w:lock w:val="sdtContentLocked"/>
        <w:placeholder>
          <w:docPart w:val="487FC56C1D59445FB78FA04E233E83DA"/>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 případě, že pracovní poměr uzavřený s doporučeným uchazečem o zaměstnání skončí před splněním podmínky doby obsazení pracovního místa uvedené v bodu 4. tohoto článku dohody, zaměstnavatel doručí písemné oznámení Úřadu práce o dni a způsobu skončení tohoto pracovního poměru, a to nejpozději do 10 pracovních dnů ode dne jeho skončení.</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III</w:t>
          </w:r>
          <w:r>
            <w:rPr>
              <w:rFonts w:ascii="Arial" w:hAnsi="Arial" w:cs="Arial"/>
              <w:sz w:val="24"/>
              <w:szCs w:val="24"/>
              <w:lang w:val="cs-CZ"/>
            </w:rPr>
            <w:br/>
          </w:r>
          <w:r>
            <w:rPr>
              <w:rFonts w:ascii="Arial" w:hAnsi="Arial" w:cs="Arial"/>
              <w:b/>
              <w:bCs/>
              <w:sz w:val="24"/>
              <w:szCs w:val="24"/>
              <w:lang w:val="cs-CZ"/>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Úřad práce se zavazuje poskytnout zaměstnavateli na zřízení pracovních míst jiný účelově určený příspěvek v celkové výši 200 000 Kč (slovy dvěstětisíc korun českých).</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Příspěvek je splatný do 30 kalendářních dnů ode dne nabytí účinnosti této dohody a bude poskytnut jednorázově převodem na účet č. XXXXXXX.</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IV</w:t>
          </w:r>
          <w:r>
            <w:rPr>
              <w:rFonts w:ascii="Arial" w:hAnsi="Arial" w:cs="Arial"/>
              <w:sz w:val="24"/>
              <w:szCs w:val="24"/>
              <w:lang w:val="cs-CZ"/>
            </w:rPr>
            <w:br/>
          </w:r>
          <w:r>
            <w:rPr>
              <w:rFonts w:ascii="Arial" w:hAnsi="Arial" w:cs="Arial"/>
              <w:b/>
              <w:bCs/>
              <w:sz w:val="24"/>
              <w:szCs w:val="24"/>
              <w:lang w:val="cs-CZ"/>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Příspěvek se poskytuje ze státního rozpočtu České republiky. Úřad práce provádí kontrolu plnění závazků zaměstnavatele plynoucích z této dohody způsobem stanoveným v zákoně č. 320/2001 Sb., o finanční kontrole ve veřejné správě a o změně některých zákonů, ve znění pozdějších předpisů, včetně ověření výše skutečně vynaložených nákladů na zřízení pracovních míst.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V</w:t>
          </w:r>
          <w:r>
            <w:rPr>
              <w:rFonts w:ascii="Arial" w:hAnsi="Arial" w:cs="Arial"/>
              <w:sz w:val="24"/>
              <w:szCs w:val="24"/>
              <w:lang w:val="cs-CZ"/>
            </w:rPr>
            <w:br/>
          </w:r>
          <w:r>
            <w:rPr>
              <w:rFonts w:ascii="Arial" w:hAnsi="Arial" w:cs="Arial"/>
              <w:b/>
              <w:bCs/>
              <w:sz w:val="24"/>
              <w:szCs w:val="24"/>
              <w:lang w:val="cs-CZ"/>
            </w:rPr>
            <w:t>Archivace dokumentů</w:t>
          </w:r>
        </w:p>
        <w:p>
          <w:pPr>
            <w:pStyle w:val="lnek"/>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doby, kdy zaměstnavateli skončí povinnost obsazovat pracovní místa, přičemž lhůta 10 let se počítá od 1. ledna roku následujícího po roce, v němž tato povinnost skončila.</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VI</w:t>
          </w:r>
          <w:r>
            <w:rPr>
              <w:rFonts w:ascii="Arial" w:hAnsi="Arial" w:cs="Arial"/>
              <w:sz w:val="24"/>
              <w:szCs w:val="24"/>
              <w:lang w:val="cs-CZ"/>
            </w:rPr>
            <w:br/>
          </w:r>
          <w:r>
            <w:rPr>
              <w:rFonts w:ascii="Arial" w:hAnsi="Arial" w:cs="Arial"/>
              <w:b/>
              <w:bCs/>
              <w:sz w:val="24"/>
              <w:szCs w:val="24"/>
              <w:lang w:val="cs-CZ"/>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Tu část příspěvku, kterou zaměstnavatel nevyčerpal dle ujednání uvedených v Článku II pod body 5. a 6. této dohody nebo nedoložil její čerpání doklady jmenovanými v Článku II pod bodem 7. této dohody do 29.08.2019, je povinen neprodleně vrátit Úřadu práce. Pokud tak zaměstnavatel neučiní, je povinen tuto část příspěvku vrátit nejpozději do 30 pracovních dnů ode dne, kdy mu byla doručena písemná výzva Úřadu práce k vrácení příspěvku.</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se zavazuje vrátit Úřadu práce příspěvek na zřízení pracovního místa, které nebylo zřízeno v souladu s ujednáními Článku II pod body 1. a 3. této dohody. Vrácení příspěvku bude provedeno ve lhůtě dle bodu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se zavazuje vrátit Úřadu práce příspěvek na zřízení pracovního místa nebo poměrnou část tohoto příspěvku, pokud nebylo pracovní místo obsazeno v souladu s ujednáními Článku II pod body 2. a 4. této dohody. Při stanovení výše příspěvku, kterou je zaměstnavatel povinen vrátit, se vychází z výše poskytnutého příspěvku, z počtu kalendářních dnů, kdy mělo být pracovní místo obsazováno, a z počtu kalendářních dnů, kdy podmínka doby obsazení pracovního místa nebyla splněna. Vrácení příspěvku bude provedeno ve lhůtě dle bodu 1. tohoto článku.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Při nedodržení ujednání Článku II pod body 10. a 11. této dohody se zaměstnavatel zavazuje vrátit Úřadu práce 5% z poskytnutého příspěvku na zřízení pracovního místa, které bylo obsazeno doporučeným uchazečem o zaměstnání, jehož pracovní smlouva nebo písemné oznámení o skončení pracovního poměru nebylo ve sjednaném termínu doručeno. Vrácení příspěvku bude provedeno ve lhůtě dle bodu 1. tohoto článku dohody.</w:t>
                </w:r>
              </w:p>
            </w:tc>
          </w:tr>
        </w:tbl>
        <w:p>
          <w:pPr>
            <w:pStyle w:val="Boddohody"/>
            <w:spacing w:before="120"/>
            <w:rPr>
              <w:rStyle w:val="FontStyle19"/>
              <w:color w:val="auto"/>
              <w:sz w:val="22"/>
              <w:szCs w:val="22"/>
            </w:rPr>
          </w:pPr>
        </w:p>
      </w:sdtContent>
    </w:sdt>
    <w:sdt>
      <w:sdtPr>
        <w:rPr>
          <w:sz w:val="22"/>
          <w:szCs w:val="22"/>
        </w:rPr>
        <w:tag w:val="$€CLANEK_VI_5€DokumentVarTextFcd_getTextWithCode"/>
        <w:id w:val="-1711714118"/>
        <w:lock w:val="sdtContentLocked"/>
        <w:placeholder>
          <w:docPart w:val="6BAD4DFE42694918974B4D072860CC4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Při nedodržení ujednání Článku II pod bodem 8. této dohody se zaměstnavatel zavazuje vrátit Úřadu práce poměrnou část z poskytnutého příspěvku. Při stanovení výše příspěvku, kterou je zaměstnavatel povinen vrátit, se vychází z výše poskytnutého příspěvku, z poměru, ze kterého poskytnutý příspěvek kryje náklady na pořízení tohoto vybavení a dále z počtu kalendářních dnů, kdy mělo být vybavení ve vlastnictví zaměstnavatele, a z počtu kalendářních dnů, kdy podmínka nebyla splněna.</w:t>
                </w:r>
              </w:p>
            </w:tc>
          </w:tr>
        </w:tbl>
        <w:p>
          <w:pPr>
            <w:pStyle w:val="Boddohody"/>
            <w:spacing w:before="120"/>
            <w:rPr>
              <w:sz w:val="22"/>
              <w:szCs w:val="22"/>
            </w:rPr>
          </w:pPr>
        </w:p>
      </w:sdtContent>
    </w:sdt>
    <w:sdt>
      <w:sdtPr>
        <w:rPr>
          <w:sz w:val="22"/>
          <w:szCs w:val="22"/>
        </w:rPr>
        <w:tag w:val="$€CLANEK_VI_6€DokumentVarTextFcd_getTextWithCode"/>
        <w:id w:val="353000300"/>
        <w:lock w:val="sdtContentLocked"/>
        <w:placeholder>
          <w:docPart w:val="75B7F5C141524254B08E924BAF1FE2F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se zavazuje vrátit Úřadu práce příspěvek nebo jeho část, pokud mu jeho zaviněním byl poskytnut neprávem nebo ve vyšší částce, než náležel, a to nejpozději do 30 pracovních dnů ode dne, kdy tuto skutečnost zjistil nebo kdy mu byla doručena písemná výzva Úřadu práce k vrácení příspěvku. Toto ustanovení dohody se nevztahuje na případy, kdy došlo k porušení rozpočtové kázně.</w:t>
                </w:r>
              </w:p>
            </w:tc>
          </w:tr>
        </w:tbl>
        <w:p>
          <w:pPr>
            <w:pStyle w:val="Boddohody"/>
            <w:spacing w:before="120"/>
            <w:rPr>
              <w:sz w:val="22"/>
              <w:szCs w:val="22"/>
            </w:rPr>
          </w:pPr>
        </w:p>
      </w:sdtContent>
    </w:sdt>
    <w:sdt>
      <w:sdtPr>
        <w:rPr>
          <w:sz w:val="22"/>
          <w:szCs w:val="22"/>
        </w:rPr>
        <w:tag w:val="$€CLANEK_VI_7€DokumentVarTextFcd_getTextWithCode"/>
        <w:id w:val="-1037957797"/>
        <w:lock w:val="sdtContentLocked"/>
        <w:placeholder>
          <w:docPart w:val="9B7315D2630B4B788C9B74FB960E8408"/>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až 5. tohoto článku.</w:t>
                </w:r>
              </w:p>
            </w:tc>
          </w:tr>
        </w:tbl>
        <w:p>
          <w:pPr>
            <w:pStyle w:val="Boddohody"/>
            <w:spacing w:before="120"/>
            <w:rPr>
              <w:sz w:val="22"/>
              <w:szCs w:val="22"/>
            </w:rPr>
          </w:pPr>
        </w:p>
      </w:sdtContent>
    </w:sdt>
    <w:sdt>
      <w:sdtPr>
        <w:rPr>
          <w:sz w:val="22"/>
          <w:szCs w:val="22"/>
        </w:rPr>
        <w:tag w:val="$€CLANEK_VI_8€DokumentVarTextFcd_getTextWithCode"/>
        <w:id w:val="205300842"/>
        <w:lock w:val="sdtContentLocked"/>
        <w:placeholder>
          <w:docPart w:val="F2A85C01898443C0B0EBB2608043DF6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se dále zavazuje vrátit Úřadu práce poskytnutý příspěvek v případě, že mu byl poskytnut v období 12 měsíců přede dnem nabytí právní moci rozhodnutí o uložení pokuty za umožnění výkonu nelegální práce podle ustanovení § 5 písm. e) bodu 3. zákona o zaměstnanosti. Vrácení příspěvku bude zaměstnavatelem provedeno ve lhůtě 30 pracovních dnů ode dne, kdy tuto skutečnost zjistil nebo kdy mu byla doručena písemná výzva Úřadu práce k vrácení příspěvku.</w:t>
                </w:r>
              </w:p>
            </w:tc>
          </w:tr>
        </w:tbl>
        <w:p>
          <w:pPr>
            <w:pStyle w:val="Boddohody"/>
            <w:spacing w:before="120"/>
            <w:rPr>
              <w:sz w:val="22"/>
              <w:szCs w:val="22"/>
            </w:rPr>
          </w:pPr>
        </w:p>
      </w:sdtContent>
    </w:sdt>
    <w:sdt>
      <w:sdtPr>
        <w:rPr>
          <w:sz w:val="22"/>
          <w:szCs w:val="22"/>
        </w:rPr>
        <w:tag w:val="$€CLANEK_VI_9€DokumentVarTextFcd_getTextWithCode"/>
        <w:id w:val="-630242142"/>
        <w:lock w:val="sdtContentLocked"/>
        <w:placeholder>
          <w:docPart w:val="733C059E879D4ACC92BBA4E71C89F80C"/>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Příspěvek se vrací na účet, který zaměstnavateli písemně sdělí Úřad práce.</w:t>
                </w:r>
              </w:p>
            </w:tc>
          </w:tr>
        </w:tbl>
        <w:p>
          <w:pPr>
            <w:pStyle w:val="Boddohody"/>
            <w:spacing w:before="120"/>
            <w:rPr>
              <w:sz w:val="22"/>
              <w:szCs w:val="22"/>
            </w:rPr>
          </w:pPr>
        </w:p>
      </w:sdtContent>
    </w:sdt>
    <w:p>
      <w:pPr>
        <w:rPr>
          <w:rFonts w:eastAsia="Arial"/>
          <w:lang w:val="cs-CZ" w:eastAsia="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VII</w:t>
          </w:r>
          <w:r>
            <w:rPr>
              <w:rFonts w:ascii="Arial" w:hAnsi="Arial" w:cs="Arial"/>
              <w:sz w:val="24"/>
              <w:szCs w:val="24"/>
              <w:lang w:val="cs-CZ"/>
            </w:rPr>
            <w:br/>
          </w:r>
          <w:r>
            <w:rPr>
              <w:rFonts w:ascii="Arial" w:hAnsi="Arial" w:cs="Arial"/>
              <w:b/>
              <w:bCs/>
              <w:sz w:val="24"/>
              <w:szCs w:val="24"/>
              <w:lang w:val="cs-CZ"/>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Nedodržení ujednání Článku II pod bodem 9. této dohody je porušením rozpočtové kázně podle zákona č. 218/2000 Sb., o rozpočtových pravidlech a o změně některých souvisejících zákonů (rozpočtová pravidla), ve znění pozdějších předpisů (dále jen „zákon o rozpočtových pravidlech“) a bude postihováno odvodem za porušení rozpočtové kázně podle ustanovení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Nevrácení příspěvku nebo jeho poměrné části dle Článku VI pod body 1. až 8. této dohody je porušením rozpočtové kázně podle ustanovení § 44 odst. 1 písm. b) zákona o rozpočtových pravidlech a bude postihováno odvodem podle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 xml:space="preserve">Článek VIII </w:t>
          </w:r>
          <w:r>
            <w:rPr>
              <w:rFonts w:ascii="Arial" w:hAnsi="Arial" w:cs="Arial"/>
              <w:sz w:val="24"/>
              <w:szCs w:val="24"/>
              <w:lang w:val="cs-CZ"/>
            </w:rPr>
            <w:br/>
          </w:r>
          <w:r>
            <w:rPr>
              <w:rFonts w:ascii="Arial" w:hAnsi="Arial" w:cs="Arial"/>
              <w:b/>
              <w:bCs/>
              <w:sz w:val="24"/>
              <w:szCs w:val="24"/>
              <w:lang w:val="cs-CZ"/>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Úřad práce si vyhrazuje právo dohodu vypovědět v případě, že zaměstnavatel závažně poruší nebo opakovaně nedodrží podmínky pro poskytnutí příspěvku uvedené v článku II pod body 1. až 9.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Výpovědní lhůta v případech uvedených v bodech 1. až 3. tohoto článku dohody činí jeden měsíc a počíná běžet prvním dnem kalendářního měsíce následujícího po doručení písemné výpovědi.</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IX</w:t>
          </w:r>
          <w:r>
            <w:rPr>
              <w:rFonts w:ascii="Arial" w:hAnsi="Arial" w:cs="Arial"/>
              <w:sz w:val="24"/>
              <w:szCs w:val="24"/>
              <w:lang w:val="cs-CZ"/>
            </w:rPr>
            <w:br/>
          </w:r>
          <w:r>
            <w:rPr>
              <w:rFonts w:ascii="Arial" w:hAnsi="Arial" w:cs="Arial"/>
              <w:b/>
              <w:bCs/>
              <w:sz w:val="24"/>
              <w:szCs w:val="24"/>
              <w:lang w:val="cs-CZ"/>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souhlasí s využíváním údajů o něm v informačních systémech týkajících se příjemců příspěvku.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sz w:val="22"/>
              <w:szCs w:val="22"/>
            </w:rPr>
          </w:pPr>
        </w:p>
      </w:sdtContent>
    </w:sdt>
    <w:sdt>
      <w:sdtPr>
        <w:rPr>
          <w:sz w:val="22"/>
          <w:szCs w:val="22"/>
        </w:rPr>
        <w:tag w:val="$€CLANEK_IX_9€DokumentVarTextFcd_getTextWithCode"/>
        <w:id w:val="658589242"/>
        <w:lock w:val="sdtContentLocked"/>
        <w:placeholder>
          <w:docPart w:val="A9E50DDEDEE743FABA38F70708B1282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je povinen poskytnout písemně Úřadu práce na jeho písemné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sz w:val="22"/>
          <w:szCs w:val="22"/>
        </w:rPr>
      </w:pPr>
    </w:p>
    <w:p>
      <w:pPr>
        <w:keepNext/>
        <w:keepLines/>
        <w:jc w:val="both"/>
        <w:rPr>
          <w:rFonts w:ascii="Arial" w:eastAsia="Arial" w:hAnsi="Arial" w:cs="Arial"/>
          <w:sz w:val="22"/>
          <w:szCs w:val="22"/>
          <w:lang w:val="cs-CZ"/>
        </w:rPr>
      </w:pPr>
    </w:p>
    <w:p>
      <w:pPr>
        <w:keepNext/>
        <w:keepLines/>
        <w:jc w:val="both"/>
        <w:rPr>
          <w:rFonts w:ascii="Arial" w:eastAsia="Arial" w:hAnsi="Arial" w:cs="Arial"/>
          <w:sz w:val="22"/>
          <w:szCs w:val="22"/>
          <w:lang w:val="cs-CZ"/>
        </w:rPr>
      </w:pPr>
    </w:p>
    <w:p>
      <w:pPr>
        <w:jc w:val="both"/>
        <w:rPr>
          <w:rFonts w:ascii="Arial" w:eastAsia="Arial" w:hAnsi="Arial" w:cs="Arial"/>
          <w:sz w:val="22"/>
          <w:szCs w:val="22"/>
          <w:lang w:val="cs-CZ"/>
        </w:rPr>
      </w:pPr>
    </w:p>
    <w:p>
      <w:pPr>
        <w:keepNext/>
        <w:keepLines/>
        <w:tabs>
          <w:tab w:val="left" w:pos="2520"/>
        </w:tab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XXXXX</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05.08.2019</w:t>
          </w:r>
        </w:sdtContent>
      </w:sdt>
      <w:r>
        <w:rPr>
          <w:rFonts w:ascii="Arial" w:hAnsi="Arial" w:cs="Arial"/>
          <w:sz w:val="22"/>
          <w:szCs w:val="22"/>
        </w:rPr>
        <w:t xml:space="preserve"> </w:t>
      </w: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apfelbeckova1 test</w:t>
          </w:r>
        </w:sdtContent>
      </w:sdt>
      <w:r>
        <w:rPr>
          <w:rFonts w:ascii="Arial" w:hAnsi="Arial" w:cs="Arial"/>
          <w:sz w:val="22"/>
          <w:szCs w:val="22"/>
          <w:lang w:val="cs-CZ"/>
        </w:rPr>
        <w:t xml:space="preserve"> </w:t>
      </w:r>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sdt>
      <w:sdtPr>
        <w:tag w:val="$Image$_typProjekt,70,70"/>
        <w:id w:val="1688489520"/>
        <w:lock w:val="contentLocked"/>
        <w:picture/>
      </w:sdtPr>
      <w:sdtContent>
        <w:r>
          <w:rPr>
            <w:noProof/>
          </w:rPr>
          <w:drawing>
            <wp:inline distT="0" distB="0" distL="0" distR="0">
              <wp:extent cx="1128868" cy="8815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grammar="clean"/>
  <w:documentProtection w:edit="readOnly" w:enforcement="1" w:cryptProviderType="rsaAES" w:cryptAlgorithmClass="hash" w:cryptAlgorithmType="typeAny" w:cryptAlgorithmSid="14" w:cryptSpinCount="100000" w:hash="BYpzhJk8X3zpxB9SypWrORDfo4kdq0jT8esWKhkOSWyJG4wEIqQ5o6KrzKJgGzFFJw01OUqdhwUSjvGHs3r0MA==" w:salt="QHO1+sf/vyxePPKevu9ph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636B22-FFD0-43FB-9AC7-420427E9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7"/>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7"/>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6"/>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6"/>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6"/>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6"/>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6"/>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6"/>
          </w:pPr>
          <w:r>
            <w:rPr>
              <w:sz w:val="22"/>
              <w:szCs w:val="22"/>
            </w:rPr>
            <w:t>Click or tap here to enter text.</w:t>
          </w:r>
        </w:p>
      </w:docPartBody>
    </w:docPart>
    <w:docPart>
      <w:docPartPr>
        <w:name w:val="F97D0CA19A3F48EE9A01C0229305AAFE"/>
        <w:category>
          <w:name w:val="General"/>
          <w:gallery w:val="placeholder"/>
        </w:category>
        <w:types>
          <w:type w:val="bbPlcHdr"/>
        </w:types>
        <w:behaviors>
          <w:behavior w:val="content"/>
        </w:behaviors>
        <w:guid w:val="{7EB5EFB7-EC37-4601-BF5A-7992ADE7CE32}"/>
      </w:docPartPr>
      <w:docPartBody>
        <w:p>
          <w:pPr>
            <w:pStyle w:val="F97D0CA19A3F48EE9A01C0229305AAFE6"/>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6"/>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6"/>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6"/>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6"/>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6"/>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6"/>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6"/>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5"/>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5"/>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5"/>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5"/>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5"/>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5"/>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5"/>
          </w:pPr>
          <w:r>
            <w:rPr>
              <w:rFonts w:ascii="Arial" w:hAnsi="Arial" w:cs="Arial"/>
              <w:sz w:val="22"/>
              <w:szCs w:val="22"/>
            </w:rPr>
            <w:t>Click or tap here to enter text.</w:t>
          </w:r>
        </w:p>
      </w:docPartBody>
    </w:docPart>
    <w:docPart>
      <w:docPartPr>
        <w:name w:val="6BAD4DFE42694918974B4D072860CC40"/>
        <w:category>
          <w:name w:val="General"/>
          <w:gallery w:val="placeholder"/>
        </w:category>
        <w:types>
          <w:type w:val="bbPlcHdr"/>
        </w:types>
        <w:behaviors>
          <w:behavior w:val="content"/>
        </w:behaviors>
        <w:guid w:val="{9C63BDE4-27A7-4126-AD25-6C86BD949002}"/>
      </w:docPartPr>
      <w:docPartBody>
        <w:p>
          <w:pPr>
            <w:pStyle w:val="6BAD4DFE42694918974B4D072860CC402"/>
          </w:pPr>
          <w:r>
            <w:rPr>
              <w:sz w:val="22"/>
              <w:szCs w:val="22"/>
            </w:rPr>
            <w:t>Click or tap here to enter text.</w:t>
          </w:r>
        </w:p>
      </w:docPartBody>
    </w:docPart>
    <w:docPart>
      <w:docPartPr>
        <w:name w:val="75B7F5C141524254B08E924BAF1FE2FB"/>
        <w:category>
          <w:name w:val="General"/>
          <w:gallery w:val="placeholder"/>
        </w:category>
        <w:types>
          <w:type w:val="bbPlcHdr"/>
        </w:types>
        <w:behaviors>
          <w:behavior w:val="content"/>
        </w:behaviors>
        <w:guid w:val="{5AA9D1E0-5561-4473-8509-9EF9FD3F9382}"/>
      </w:docPartPr>
      <w:docPartBody>
        <w:p>
          <w:pPr>
            <w:pStyle w:val="75B7F5C141524254B08E924BAF1FE2FB2"/>
          </w:pPr>
          <w:r>
            <w:rPr>
              <w:sz w:val="22"/>
              <w:szCs w:val="22"/>
            </w:rPr>
            <w:t>Click or tap here to enter text.</w:t>
          </w:r>
        </w:p>
      </w:docPartBody>
    </w:docPart>
    <w:docPart>
      <w:docPartPr>
        <w:name w:val="9B7315D2630B4B788C9B74FB960E8408"/>
        <w:category>
          <w:name w:val="General"/>
          <w:gallery w:val="placeholder"/>
        </w:category>
        <w:types>
          <w:type w:val="bbPlcHdr"/>
        </w:types>
        <w:behaviors>
          <w:behavior w:val="content"/>
        </w:behaviors>
        <w:guid w:val="{B7129FF5-F4FE-4FC0-A54C-47632E1FD708}"/>
      </w:docPartPr>
      <w:docPartBody>
        <w:p>
          <w:pPr>
            <w:pStyle w:val="9B7315D2630B4B788C9B74FB960E84082"/>
          </w:pPr>
          <w:r>
            <w:rPr>
              <w:sz w:val="22"/>
              <w:szCs w:val="22"/>
            </w:rPr>
            <w:t>Click or tap here to enter text.</w:t>
          </w:r>
        </w:p>
      </w:docPartBody>
    </w:docPart>
    <w:docPart>
      <w:docPartPr>
        <w:name w:val="F2A85C01898443C0B0EBB2608043DF63"/>
        <w:category>
          <w:name w:val="General"/>
          <w:gallery w:val="placeholder"/>
        </w:category>
        <w:types>
          <w:type w:val="bbPlcHdr"/>
        </w:types>
        <w:behaviors>
          <w:behavior w:val="content"/>
        </w:behaviors>
        <w:guid w:val="{F9FB4544-C1CD-4D3B-B945-383692EC1C80}"/>
      </w:docPartPr>
      <w:docPartBody>
        <w:p>
          <w:pPr>
            <w:pStyle w:val="F2A85C01898443C0B0EBB2608043DF632"/>
          </w:pPr>
          <w:r>
            <w:rPr>
              <w:sz w:val="22"/>
              <w:szCs w:val="22"/>
            </w:rPr>
            <w:t>Click or tap here to enter text.</w:t>
          </w:r>
        </w:p>
      </w:docPartBody>
    </w:docPart>
    <w:docPart>
      <w:docPartPr>
        <w:name w:val="733C059E879D4ACC92BBA4E71C89F80C"/>
        <w:category>
          <w:name w:val="General"/>
          <w:gallery w:val="placeholder"/>
        </w:category>
        <w:types>
          <w:type w:val="bbPlcHdr"/>
        </w:types>
        <w:behaviors>
          <w:behavior w:val="content"/>
        </w:behaviors>
        <w:guid w:val="{CCCE307F-9EA9-4AC2-AC9C-B28C4B7B6D98}"/>
      </w:docPartPr>
      <w:docPartBody>
        <w:p>
          <w:pPr>
            <w:pStyle w:val="733C059E879D4ACC92BBA4E71C89F80C2"/>
          </w:pPr>
          <w:r>
            <w:rPr>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2"/>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2"/>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2"/>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2"/>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2"/>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2"/>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2"/>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2"/>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2"/>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2"/>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2"/>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2"/>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2"/>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2"/>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2"/>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2"/>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2"/>
          </w:pPr>
          <w:r>
            <w:rPr>
              <w:sz w:val="22"/>
              <w:szCs w:val="22"/>
            </w:rPr>
            <w:t>Click or tap here to enter text.</w:t>
          </w:r>
        </w:p>
      </w:docPartBody>
    </w:docPart>
    <w:docPart>
      <w:docPartPr>
        <w:name w:val="E81730C59A28467EA7FAF08674A6FAF4"/>
        <w:category>
          <w:name w:val="General"/>
          <w:gallery w:val="placeholder"/>
        </w:category>
        <w:types>
          <w:type w:val="bbPlcHdr"/>
        </w:types>
        <w:behaviors>
          <w:behavior w:val="content"/>
        </w:behaviors>
        <w:guid w:val="{3D1ED8A1-3EFA-4050-B635-60B1F47C0D79}"/>
      </w:docPartPr>
      <w:docPartBody>
        <w:p>
          <w:pPr>
            <w:pStyle w:val="E81730C59A28467EA7FAF08674A6FAF42"/>
          </w:pPr>
          <w:r>
            <w:rPr>
              <w:sz w:val="22"/>
              <w:szCs w:val="22"/>
            </w:rPr>
            <w:t>Click or tap here to enter text.</w:t>
          </w:r>
        </w:p>
      </w:docPartBody>
    </w:docPart>
    <w:docPart>
      <w:docPartPr>
        <w:name w:val="487FC56C1D59445FB78FA04E233E83DA"/>
        <w:category>
          <w:name w:val="General"/>
          <w:gallery w:val="placeholder"/>
        </w:category>
        <w:types>
          <w:type w:val="bbPlcHdr"/>
        </w:types>
        <w:behaviors>
          <w:behavior w:val="content"/>
        </w:behaviors>
        <w:guid w:val="{CCF91C47-C84A-4940-B09F-BE7AA65BE70E}"/>
      </w:docPartPr>
      <w:docPartBody>
        <w:p>
          <w:pPr>
            <w:pStyle w:val="487FC56C1D59445FB78FA04E233E83DA2"/>
          </w:pPr>
          <w:r>
            <w:rPr>
              <w:sz w:val="22"/>
              <w:szCs w:val="22"/>
            </w:rPr>
            <w:t>Click or tap here to enter text.</w:t>
          </w:r>
        </w:p>
      </w:docPartBody>
    </w:docPart>
    <w:docPart>
      <w:docPartPr>
        <w:name w:val="A9E50DDEDEE743FABA38F70708B12820"/>
        <w:category>
          <w:name w:val="General"/>
          <w:gallery w:val="placeholder"/>
        </w:category>
        <w:types>
          <w:type w:val="bbPlcHdr"/>
        </w:types>
        <w:behaviors>
          <w:behavior w:val="content"/>
        </w:behaviors>
        <w:guid w:val="{E09DBB88-8CD8-42B1-8BA5-E7F96D322327}"/>
      </w:docPartPr>
      <w:docPartBody>
        <w:p>
          <w:pPr>
            <w:pStyle w:val="A9E50DDEDEE743FABA38F70708B128202"/>
          </w:pPr>
          <w:r>
            <w:rPr>
              <w:sz w:val="22"/>
              <w:szCs w:val="22"/>
            </w:rPr>
            <w:t>Click or tap here to enter text.</w:t>
          </w:r>
        </w:p>
      </w:docPartBody>
    </w:docPart>
    <w:docPart>
      <w:docPartPr>
        <w:name w:val="6B0333614C814E939768E9968875D346"/>
        <w:category>
          <w:name w:val="General"/>
          <w:gallery w:val="placeholder"/>
        </w:category>
        <w:types>
          <w:type w:val="bbPlcHdr"/>
        </w:types>
        <w:behaviors>
          <w:behavior w:val="content"/>
        </w:behaviors>
        <w:guid w:val="{14FEBA55-2B60-44E4-80BD-FD3BE5AD53C1}"/>
      </w:docPartPr>
      <w:docPartBody>
        <w:p>
          <w:pPr>
            <w:pStyle w:val="6B0333614C814E939768E9968875D3461"/>
          </w:pPr>
          <w:r>
            <w:rPr>
              <w:rFonts w:ascii="Arial" w:eastAsia="Arial" w:hAnsi="Arial" w:cs="Arial"/>
              <w:b/>
              <w:sz w:val="24"/>
              <w:szCs w:val="24"/>
              <w:lang w:val="cs-CZ"/>
            </w:rPr>
            <w:t>Click here to enter text.</w:t>
          </w:r>
        </w:p>
      </w:docPartBody>
    </w:docPart>
    <w:docPart>
      <w:docPartPr>
        <w:name w:val="6FBCACA5A8314586A2D035D7B0CB4412"/>
        <w:category>
          <w:name w:val="General"/>
          <w:gallery w:val="placeholder"/>
        </w:category>
        <w:types>
          <w:type w:val="bbPlcHdr"/>
        </w:types>
        <w:behaviors>
          <w:behavior w:val="content"/>
        </w:behaviors>
        <w:guid w:val="{2AA1F5A7-955D-424A-95BB-A03271CB4294}"/>
      </w:docPartPr>
      <w:docPartBody>
        <w:p>
          <w:pPr>
            <w:pStyle w:val="6FBCACA5A8314586A2D035D7B0CB44121"/>
          </w:pPr>
          <w:r>
            <w:rPr>
              <w:rFonts w:ascii="Arial" w:eastAsia="Arial" w:hAnsi="Arial" w:cs="Arial"/>
              <w:b/>
              <w:sz w:val="24"/>
              <w:szCs w:val="24"/>
              <w:lang w:val="cs-CZ"/>
            </w:rPr>
            <w:t>Click here to enter text.</w:t>
          </w:r>
        </w:p>
      </w:docPartBody>
    </w:docPart>
    <w:docPart>
      <w:docPartPr>
        <w:name w:val="D59D2372A1D54C239A46C167A8F26EC9"/>
        <w:category>
          <w:name w:val="General"/>
          <w:gallery w:val="placeholder"/>
        </w:category>
        <w:types>
          <w:type w:val="bbPlcHdr"/>
        </w:types>
        <w:behaviors>
          <w:behavior w:val="content"/>
        </w:behaviors>
        <w:guid w:val="{F89F3D2D-53A2-4E54-AD1F-E7C26677F689}"/>
      </w:docPartPr>
      <w:docPartBody>
        <w:p>
          <w:pPr>
            <w:pStyle w:val="D59D2372A1D54C239A46C167A8F26EC91"/>
          </w:pPr>
          <w:r>
            <w:rPr>
              <w:sz w:val="22"/>
              <w:szCs w:val="22"/>
            </w:rPr>
            <w:t>Click or tap here to enter text.</w:t>
          </w:r>
        </w:p>
      </w:docPartBody>
    </w:docPart>
    <w:docPart>
      <w:docPartPr>
        <w:name w:val="40FAF1C424A049AB944BFA3D499226F7"/>
        <w:category>
          <w:name w:val="General"/>
          <w:gallery w:val="placeholder"/>
        </w:category>
        <w:types>
          <w:type w:val="bbPlcHdr"/>
        </w:types>
        <w:behaviors>
          <w:behavior w:val="content"/>
        </w:behaviors>
        <w:guid w:val="{DADAA0ED-35AF-487C-8AB7-C66C8E27469F}"/>
      </w:docPartPr>
      <w:docPartBody>
        <w:p>
          <w:pPr>
            <w:pStyle w:val="40FAF1C424A049AB944BFA3D499226F71"/>
          </w:pPr>
          <w:r>
            <w:rPr>
              <w:sz w:val="22"/>
              <w:szCs w:val="22"/>
            </w:rPr>
            <w:t>Click or tap here to enter text.</w:t>
          </w:r>
        </w:p>
      </w:docPartBody>
    </w:docPart>
    <w:docPart>
      <w:docPartPr>
        <w:name w:val="E92663E84FF544198FCAB620DDF68E45"/>
        <w:category>
          <w:name w:val="General"/>
          <w:gallery w:val="placeholder"/>
        </w:category>
        <w:types>
          <w:type w:val="bbPlcHdr"/>
        </w:types>
        <w:behaviors>
          <w:behavior w:val="content"/>
        </w:behaviors>
        <w:guid w:val="{2A4A9F21-D297-4283-8466-1F679130E508}"/>
      </w:docPartPr>
      <w:docPartBody>
        <w:p>
          <w:pPr>
            <w:pStyle w:val="E92663E84FF544198FCAB620DDF68E45"/>
          </w:pPr>
          <w:r>
            <w:rPr>
              <w:rStyle w:val="PlaceholderText"/>
              <w:rFonts w:ascii="Arial" w:hAnsi="Arial" w:cs="Arial"/>
              <w:color w:val="auto"/>
            </w:rPr>
            <w:t>Click or tap here to enter text.</w:t>
          </w:r>
        </w:p>
      </w:docPartBody>
    </w:docPart>
    <w:docPart>
      <w:docPartPr>
        <w:name w:val="6126AB365DEB49608FA915AF583CF9BC"/>
        <w:category>
          <w:name w:val="General"/>
          <w:gallery w:val="placeholder"/>
        </w:category>
        <w:types>
          <w:type w:val="bbPlcHdr"/>
        </w:types>
        <w:behaviors>
          <w:behavior w:val="content"/>
        </w:behaviors>
        <w:guid w:val="{0015C234-3FE2-4364-9B96-C4B84074E7AD}"/>
      </w:docPartPr>
      <w:docPartBody>
        <w:p>
          <w:pPr>
            <w:pStyle w:val="6126AB365DEB49608FA915AF583CF9BC"/>
          </w:pPr>
          <w:r>
            <w:rPr>
              <w:rStyle w:val="PlaceholderText"/>
              <w:rFonts w:ascii="Arial" w:hAnsi="Arial" w:cs="Arial"/>
              <w:color w:val="auto"/>
            </w:rPr>
            <w:t>Click or tap here to enter text.</w:t>
          </w:r>
        </w:p>
      </w:docPartBody>
    </w:docPart>
    <w:docPart>
      <w:docPartPr>
        <w:name w:val="F7470C35FFBD4D62A98B046C6A3D7650"/>
        <w:category>
          <w:name w:val="General"/>
          <w:gallery w:val="placeholder"/>
        </w:category>
        <w:types>
          <w:type w:val="bbPlcHdr"/>
        </w:types>
        <w:behaviors>
          <w:behavior w:val="content"/>
        </w:behaviors>
        <w:guid w:val="{0F0BB3B2-D1C8-4F5E-8DF1-5AE130780FF6}"/>
      </w:docPartPr>
      <w:docPartBody>
        <w:p>
          <w:pPr>
            <w:pStyle w:val="F7470C35FFBD4D62A98B046C6A3D7650"/>
          </w:pPr>
          <w:r>
            <w:rPr>
              <w:rStyle w:val="PlaceholderText"/>
              <w:rFonts w:ascii="Arial" w:hAnsi="Arial" w:cs="Arial"/>
              <w:color w:val="auto"/>
            </w:rPr>
            <w:t>Click or tap here to enter text.</w:t>
          </w:r>
        </w:p>
      </w:docPartBody>
    </w:docPart>
    <w:docPart>
      <w:docPartPr>
        <w:name w:val="2A7AF9895ACF4AEE8E4913E8109468E6"/>
        <w:category>
          <w:name w:val="General"/>
          <w:gallery w:val="placeholder"/>
        </w:category>
        <w:types>
          <w:type w:val="bbPlcHdr"/>
        </w:types>
        <w:behaviors>
          <w:behavior w:val="content"/>
        </w:behaviors>
        <w:guid w:val="{FE7D1A3E-75D2-4FC9-87B3-19F6B8440A94}"/>
      </w:docPartPr>
      <w:docPartBody>
        <w:p>
          <w:pPr>
            <w:pStyle w:val="2A7AF9895ACF4AEE8E4913E8109468E6"/>
          </w:pPr>
          <w:r>
            <w:rPr>
              <w:rStyle w:val="PlaceholderText"/>
              <w:rFonts w:ascii="Arial" w:hAnsi="Arial" w:cs="Arial"/>
              <w:color w:val="auto"/>
            </w:rPr>
            <w:t>Click or tap here to enter text.</w:t>
          </w:r>
        </w:p>
      </w:docPartBody>
    </w:docPart>
    <w:docPart>
      <w:docPartPr>
        <w:name w:val="E71E0EE2FC6648BCB472DB19EDBE1FA1"/>
        <w:category>
          <w:name w:val="General"/>
          <w:gallery w:val="placeholder"/>
        </w:category>
        <w:types>
          <w:type w:val="bbPlcHdr"/>
        </w:types>
        <w:behaviors>
          <w:behavior w:val="content"/>
        </w:behaviors>
        <w:guid w:val="{997499FC-6293-41E6-B626-EBD3985C3717}"/>
      </w:docPartPr>
      <w:docPartBody>
        <w:p>
          <w:pPr>
            <w:pStyle w:val="E71E0EE2FC6648BCB472DB19EDBE1FA1"/>
          </w:pPr>
          <w:r>
            <w:rPr>
              <w:rStyle w:val="PlaceholderText"/>
              <w:rFonts w:ascii="Arial" w:hAnsi="Arial" w:cs="Arial"/>
              <w:color w:val="auto"/>
            </w:rPr>
            <w:t>Click or tap here to enter text.</w:t>
          </w:r>
        </w:p>
      </w:docPartBody>
    </w:docPart>
    <w:docPart>
      <w:docPartPr>
        <w:name w:val="8D8E3649FBD94834A73AA89A75A44E30"/>
        <w:category>
          <w:name w:val="General"/>
          <w:gallery w:val="placeholder"/>
        </w:category>
        <w:types>
          <w:type w:val="bbPlcHdr"/>
        </w:types>
        <w:behaviors>
          <w:behavior w:val="content"/>
        </w:behaviors>
        <w:guid w:val="{76BE75D4-31D8-4807-B7FD-F24E30C0D998}"/>
      </w:docPartPr>
      <w:docPartBody>
        <w:p>
          <w:pPr>
            <w:pStyle w:val="8D8E3649FBD94834A73AA89A75A44E30"/>
          </w:pPr>
          <w:r>
            <w:t>Click or tap here to enter text.</w:t>
          </w:r>
        </w:p>
      </w:docPartBody>
    </w:docPart>
    <w:docPart>
      <w:docPartPr>
        <w:name w:val="696C4F3A8DF045D1B191E23A94DDA573"/>
        <w:category>
          <w:name w:val="General"/>
          <w:gallery w:val="placeholder"/>
        </w:category>
        <w:types>
          <w:type w:val="bbPlcHdr"/>
        </w:types>
        <w:behaviors>
          <w:behavior w:val="content"/>
        </w:behaviors>
        <w:guid w:val="{8FA507DB-F473-4203-94CA-6DE8A40A7F80}"/>
      </w:docPartPr>
      <w:docPartBody>
        <w:p>
          <w:pPr>
            <w:pStyle w:val="696C4F3A8DF045D1B191E23A94DDA573"/>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E81730C59A28467EA7FAF08674A6FAF4">
    <w:name w:val="E81730C59A28467EA7FAF08674A6FAF4"/>
    <w:pPr>
      <w:spacing w:after="200" w:line="276" w:lineRule="auto"/>
    </w:pPr>
  </w:style>
  <w:style w:type="paragraph" w:customStyle="1" w:styleId="487FC56C1D59445FB78FA04E233E83DA">
    <w:name w:val="487FC56C1D59445FB78FA04E233E83DA"/>
    <w:pPr>
      <w:spacing w:after="200" w:line="276" w:lineRule="auto"/>
    </w:pPr>
  </w:style>
  <w:style w:type="paragraph" w:customStyle="1" w:styleId="A9E50DDEDEE743FABA38F70708B12820">
    <w:name w:val="A9E50DDEDEE743FABA38F70708B12820"/>
    <w:pPr>
      <w:spacing w:after="200" w:line="276" w:lineRule="auto"/>
    </w:pPr>
  </w:style>
  <w:style w:type="paragraph" w:customStyle="1" w:styleId="6B0333614C814E939768E9968875D346">
    <w:name w:val="6B0333614C814E939768E9968875D346"/>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
    <w:name w:val="6FBCACA5A8314586A2D035D7B0CB441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3">
    <w:name w:val="3999FC90109143E0AA340CD4074CC2433"/>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1">
    <w:name w:val="E81730C59A28467EA7FAF08674A6FAF41"/>
    <w:pPr>
      <w:keepLines/>
      <w:spacing w:before="240" w:after="0" w:line="240" w:lineRule="auto"/>
      <w:jc w:val="both"/>
    </w:pPr>
    <w:rPr>
      <w:rFonts w:ascii="Arial" w:eastAsia="Times New Roman" w:hAnsi="Arial" w:cs="Arial"/>
      <w:sz w:val="20"/>
      <w:szCs w:val="20"/>
    </w:rPr>
  </w:style>
  <w:style w:type="paragraph" w:customStyle="1" w:styleId="487FC56C1D59445FB78FA04E233E83DA1">
    <w:name w:val="487FC56C1D59445FB78FA04E233E83DA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A9E50DDEDEE743FABA38F70708B128201">
    <w:name w:val="A9E50DDEDEE743FABA38F70708B12820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59D2372A1D54C239A46C167A8F26EC9">
    <w:name w:val="D59D2372A1D54C239A46C167A8F26EC9"/>
  </w:style>
  <w:style w:type="paragraph" w:customStyle="1" w:styleId="40FAF1C424A049AB944BFA3D499226F7">
    <w:name w:val="40FAF1C424A049AB944BFA3D499226F7"/>
  </w:style>
  <w:style w:type="paragraph" w:customStyle="1" w:styleId="6B0333614C814E939768E9968875D3461">
    <w:name w:val="6B0333614C814E939768E9968875D3461"/>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1">
    <w:name w:val="6FBCACA5A8314586A2D035D7B0CB4412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1">
    <w:name w:val="40FAF1C424A049AB944BFA3D499226F71"/>
    <w:pPr>
      <w:keepLines/>
      <w:spacing w:before="240" w:after="0" w:line="240" w:lineRule="auto"/>
      <w:jc w:val="both"/>
    </w:pPr>
    <w:rPr>
      <w:rFonts w:ascii="Arial" w:eastAsia="Times New Roman" w:hAnsi="Arial" w:cs="Arial"/>
      <w:sz w:val="20"/>
      <w:szCs w:val="20"/>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D59D2372A1D54C239A46C167A8F26EC91">
    <w:name w:val="D59D2372A1D54C239A46C167A8F26EC91"/>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4">
    <w:name w:val="3999FC90109143E0AA340CD4074CC2434"/>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2">
    <w:name w:val="E81730C59A28467EA7FAF08674A6FAF42"/>
    <w:pPr>
      <w:keepLines/>
      <w:spacing w:before="240" w:after="0" w:line="240" w:lineRule="auto"/>
      <w:jc w:val="both"/>
    </w:pPr>
    <w:rPr>
      <w:rFonts w:ascii="Arial" w:eastAsia="Times New Roman" w:hAnsi="Arial" w:cs="Arial"/>
      <w:sz w:val="20"/>
      <w:szCs w:val="20"/>
    </w:rPr>
  </w:style>
  <w:style w:type="paragraph" w:customStyle="1" w:styleId="487FC56C1D59445FB78FA04E233E83DA2">
    <w:name w:val="487FC56C1D59445FB78FA04E233E83DA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A9E50DDEDEE743FABA38F70708B128202">
    <w:name w:val="A9E50DDEDEE743FABA38F70708B12820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92663E84FF544198FCAB620DDF68E45">
    <w:name w:val="E92663E84FF544198FCAB620DDF68E45"/>
  </w:style>
  <w:style w:type="paragraph" w:customStyle="1" w:styleId="6126AB365DEB49608FA915AF583CF9BC">
    <w:name w:val="6126AB365DEB49608FA915AF583CF9BC"/>
  </w:style>
  <w:style w:type="paragraph" w:customStyle="1" w:styleId="F7470C35FFBD4D62A98B046C6A3D7650">
    <w:name w:val="F7470C35FFBD4D62A98B046C6A3D7650"/>
  </w:style>
  <w:style w:type="paragraph" w:customStyle="1" w:styleId="2A7AF9895ACF4AEE8E4913E8109468E6">
    <w:name w:val="2A7AF9895ACF4AEE8E4913E8109468E6"/>
  </w:style>
  <w:style w:type="paragraph" w:customStyle="1" w:styleId="E71E0EE2FC6648BCB472DB19EDBE1FA1">
    <w:name w:val="E71E0EE2FC6648BCB472DB19EDBE1FA1"/>
  </w:style>
  <w:style w:type="paragraph" w:customStyle="1" w:styleId="D2E00710B6144657B583707C97DDDE5B">
    <w:name w:val="D2E00710B6144657B583707C97DDDE5B"/>
  </w:style>
  <w:style w:type="paragraph" w:customStyle="1" w:styleId="8D8E3649FBD94834A73AA89A75A44E30">
    <w:name w:val="8D8E3649FBD94834A73AA89A75A44E30"/>
  </w:style>
  <w:style w:type="paragraph" w:customStyle="1" w:styleId="696C4F3A8DF045D1B191E23A94DDA573">
    <w:name w:val="696C4F3A8DF045D1B191E23A94DDA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5.xml><?xml version="1.0" encoding="utf-8"?>
<ds:datastoreItem xmlns:ds="http://schemas.openxmlformats.org/officeDocument/2006/customXml" ds:itemID="{47852D1C-B81C-4FCA-B84E-BEB85A17E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1972</Words>
  <Characters>11641</Characters>
  <Application>Microsoft Office Word</Application>
  <DocSecurity>8</DocSecurity>
  <Lines>97</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Apfelbecková, Anežka</cp:lastModifiedBy>
  <cp:revision>9</cp:revision>
  <cp:lastPrinted>2017-10-09T13:37:00Z</cp:lastPrinted>
  <dcterms:created xsi:type="dcterms:W3CDTF">2018-03-14T08:43:00Z</dcterms:created>
  <dcterms:modified xsi:type="dcterms:W3CDTF">2019-08-05T08:20:00Z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1615056062</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