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PPM-SV-535/2019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408"/>
            <w:gridCol w:w="549"/>
            <w:gridCol w:w="873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w:t>
                </w:r>
                <w:r>
                  <w:rPr>
                    <w:rFonts w:ascii="Arial" w:hAnsi="Arial" w:cs="Arial"/>
                    <w:sz w:val="24"/>
                    <w:szCs w:val="24"/>
                  </w:rPr>
                  <w:br/>
                  <w:t>Den nástupu do práce: 31.07.2019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31.08.2019,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59 381 Kč měsíčně. Součet poskytnutých měsíčních příspěvků nepřekročí částku 118 762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31.07.2019 do 31.08.2019. Jestliže se na tuto dohodu vztahuje povinnost uveřejnění prostřednictvím Registru smluv a dohoda nenabyde účinnosti dle Článku IX bod 2. této dohody do 31.07.2019,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XXXXXXXX.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31.07.2019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XQ6tJemgNbI0tNWxK/ZpHTkfP+s=" w:salt="r6irMJnMzWlQLIFP4Hx9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6086B4E2-2F6A-4FDC-B69F-918E14D2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2109</Words>
  <Characters>12027</Characters>
  <Application>Microsoft Office Word</Application>
  <DocSecurity>8</DocSecurity>
  <Lines>100</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2019-07-31T12:47:00Z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