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o poskytnutí příspěvku na úhradu provozních nákladů vynaložených v souvislosti se zaměstnáváním osoby se zdravotním postižením</w:t>
          </w:r>
        </w:p>
        <w:p>
          <w:pPr>
            <w:spacing w:after="0"/>
            <w:jc w:val="center"/>
            <w:rPr>
              <w:rFonts w:ascii="Arial" w:hAnsi="Arial" w:cs="Arial"/>
              <w:b/>
            </w:rPr>
          </w:pPr>
          <w:r>
            <w:rPr>
              <w:rFonts w:ascii="Arial" w:hAnsi="Arial" w:cs="Arial"/>
              <w:b/>
            </w:rPr>
            <w:t>č. PPM-PP-96/2019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 xml:space="preserve">zastupující osoba:  </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s-ES"/>
        </w:rPr>
      </w:pPr>
      <w:r>
        <w:rPr>
          <w:rFonts w:ascii="Arial" w:hAnsi="Arial" w:cs="Arial"/>
        </w:rPr>
        <w:t xml:space="preserve">(dále jen </w:t>
      </w:r>
      <w:r>
        <w:rPr>
          <w:rFonts w:ascii="Arial" w:hAnsi="Arial" w:cs="Arial"/>
          <w:lang w:val="es-ES"/>
        </w:rPr>
        <w:t>„</w:t>
      </w:r>
      <w:proofErr w:type="spellStart"/>
      <w:r>
        <w:rPr>
          <w:rFonts w:ascii="Arial" w:hAnsi="Arial" w:cs="Arial"/>
          <w:lang w:val="es-ES"/>
        </w:rPr>
        <w:t>Úřad</w:t>
      </w:r>
      <w:proofErr w:type="spellEnd"/>
      <w:r>
        <w:rPr>
          <w:rFonts w:ascii="Arial" w:hAnsi="Arial" w:cs="Arial"/>
          <w:lang w:val="es-ES"/>
        </w:rPr>
        <w:t xml:space="preserve"> </w:t>
      </w:r>
      <w:proofErr w:type="spellStart"/>
      <w:r>
        <w:rPr>
          <w:rFonts w:ascii="Arial" w:hAnsi="Arial" w:cs="Arial"/>
          <w:lang w:val="es-ES"/>
        </w:rPr>
        <w:t>práce</w:t>
      </w:r>
      <w:proofErr w:type="spellEnd"/>
      <w:r>
        <w:rPr>
          <w:rFonts w:ascii="Arial" w:hAnsi="Arial" w:cs="Arial"/>
          <w:lang w:val="es-ES"/>
        </w:rPr>
        <w:t xml:space="preserve">”) na </w:t>
      </w:r>
      <w:proofErr w:type="spellStart"/>
      <w:r>
        <w:rPr>
          <w:rFonts w:ascii="Arial" w:hAnsi="Arial" w:cs="Arial"/>
          <w:lang w:val="es-ES"/>
        </w:rPr>
        <w:t>straně</w:t>
      </w:r>
      <w:proofErr w:type="spellEnd"/>
      <w:r>
        <w:rPr>
          <w:rFonts w:ascii="Arial" w:hAnsi="Arial" w:cs="Arial"/>
          <w:lang w:val="es-ES"/>
        </w:rPr>
        <w:t xml:space="preserve"> </w:t>
      </w:r>
      <w:proofErr w:type="spellStart"/>
      <w:r>
        <w:rPr>
          <w:rFonts w:ascii="Arial" w:hAnsi="Arial" w:cs="Arial"/>
          <w:lang w:val="es-ES"/>
        </w:rPr>
        <w:t>jedné</w:t>
      </w:r>
      <w:proofErr w:type="spellEnd"/>
      <w:r>
        <w:rPr>
          <w:rFonts w:ascii="Arial" w:hAnsi="Arial" w:cs="Arial"/>
          <w:lang w:val="es-ES"/>
        </w:rPr>
        <w:t xml:space="preserve">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XXXXXXXXXXXXXXXXXXXXXXXXXXXXXXXXXXXXXXXXXXXXXXXXXXXXXXXXXXXXXXXXXXXXXXXXXXXXXXXXXXXXXXXXXXXXXXXXXXXXXXXXXXXXXXXXXXXXXXXXXXXXXXXXXXXXXXXXXXXXXXXXXXXXXXXXXX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jc w:val="both"/>
            <w:rPr>
              <w:rFonts w:ascii="Arial" w:hAnsi="Arial" w:cs="Arial"/>
            </w:rPr>
          </w:pPr>
          <w:r>
            <w:rPr>
              <w:rFonts w:ascii="Arial" w:hAnsi="Arial" w:cs="Arial"/>
            </w:rPr>
            <w:t>Tato dohoda se uzavírá podle ustanovení § 76 zákona č. 435/2004 Sb., o zaměstnanosti, ve znění pozdějších předpisů (dále jen „zákon o zaměstnanosti“), a podle ustanovení § 8 a ustanovení § 10 vyhlášky č. 518/2004 Sb., kterou se provádí zákon č. 435/2004 Sb., o zaměstnanosti, ve znění pozdějších předpisů, za účelem poskytnutí příspěvku na úhradu provozních nákladů vynaložených v souvislosti se zaměstnáváním osoby se zdravotním postižením, a to v rozsahu a za podmínek uvedených v této dohodě.</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w:t>
          </w:r>
          <w:r>
            <w:rPr>
              <w:rFonts w:ascii="Arial" w:hAnsi="Arial" w:cs="Arial"/>
              <w:sz w:val="24"/>
              <w:szCs w:val="24"/>
              <w:lang w:val="en-US"/>
            </w:rPr>
            <w:br/>
          </w:r>
          <w:r>
            <w:rPr>
              <w:rFonts w:ascii="Arial" w:hAnsi="Arial" w:cs="Arial"/>
              <w:b/>
              <w:bCs/>
              <w:sz w:val="24"/>
              <w:szCs w:val="24"/>
              <w:lang w:val="en-US"/>
            </w:rPr>
            <w:t>Podmínky poskytování příspěvku</w:t>
          </w:r>
        </w:p>
        <w:p>
          <w:pPr>
            <w:spacing w:after="0"/>
            <w:jc w:val="center"/>
            <w:rPr>
              <w:rFonts w:ascii="Arial" w:hAnsi="Arial" w:cs="Arial"/>
              <w:b/>
            </w:rPr>
          </w:pPr>
        </w:p>
      </w:sdtContent>
    </w:sdt>
    <w:p>
      <w:pPr>
        <w:spacing w:before="120" w:after="0"/>
        <w:jc w:val="both"/>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poskytnutý příspěvek k úhradě provozních nákladů vynaložených v souvislosti se zaměstnáváním osob se zdravotním postižením, které jsou uvedeny v příloze č. 2 této dohody.</w:t>
                </w:r>
              </w:p>
            </w:tc>
          </w:tr>
        </w:tbl>
        <w:p>
          <w:pPr>
            <w:spacing w:before="120" w:after="0"/>
            <w:jc w:val="both"/>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příspěvek výhradně na krytí nebo úhradu provozních nákladů, které jsou uvedeny v seznamu uznatelných nákladových položek, který je přílohou č. 1 této dohody a které současně souvisí se zaměstnáváním osob se zdravotním postižením uvedených v příloze č. 2 této dohody. Příspěvek nemusí být použit na krytí nebo úhradu všech nákladových položek uvedených v tomto seznamu.</w:t>
                </w:r>
              </w:p>
            </w:tc>
          </w:tr>
        </w:tbl>
        <w:p>
          <w:pPr>
            <w:spacing w:before="120" w:after="0"/>
            <w:jc w:val="both"/>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může být zaměstnavatelem použit jen na krytí a úhradu provozních nákladů, které vzniknou a budou uhrazeny v době od 31.07.2019 do 01.09.2019.</w:t>
                </w:r>
              </w:p>
            </w:tc>
          </w:tr>
        </w:tbl>
        <w:p>
          <w:pPr>
            <w:spacing w:before="120" w:after="0"/>
            <w:jc w:val="both"/>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roofErr w:type="spellStart"/>
                <w:r>
                  <w:rPr>
                    <w:rFonts w:ascii="Arial" w:hAnsi="Arial" w:cs="Arial"/>
                    <w:sz w:val="24"/>
                    <w:szCs w:val="24"/>
                    <w:lang w:val="en-US"/>
                  </w:rPr>
                  <w:t>Zaměstnavatel</w:t>
                </w:r>
                <w:proofErr w:type="spellEnd"/>
                <w:r>
                  <w:rPr>
                    <w:rFonts w:ascii="Arial" w:hAnsi="Arial" w:cs="Arial"/>
                    <w:sz w:val="24"/>
                    <w:szCs w:val="24"/>
                    <w:lang w:val="en-US"/>
                  </w:rPr>
                  <w:t xml:space="preserve"> </w:t>
                </w:r>
                <w:proofErr w:type="spellStart"/>
                <w:r>
                  <w:rPr>
                    <w:rFonts w:ascii="Arial" w:hAnsi="Arial" w:cs="Arial"/>
                    <w:sz w:val="24"/>
                    <w:szCs w:val="24"/>
                    <w:lang w:val="en-US"/>
                  </w:rPr>
                  <w:t>doloží</w:t>
                </w:r>
                <w:proofErr w:type="spellEnd"/>
                <w:r>
                  <w:rPr>
                    <w:rFonts w:ascii="Arial" w:hAnsi="Arial" w:cs="Arial"/>
                    <w:sz w:val="24"/>
                    <w:szCs w:val="24"/>
                    <w:lang w:val="en-US"/>
                  </w:rPr>
                  <w:t xml:space="preserve"> </w:t>
                </w:r>
                <w:proofErr w:type="spellStart"/>
                <w:r>
                  <w:rPr>
                    <w:rFonts w:ascii="Arial" w:hAnsi="Arial" w:cs="Arial"/>
                    <w:sz w:val="24"/>
                    <w:szCs w:val="24"/>
                    <w:lang w:val="en-US"/>
                  </w:rPr>
                  <w:t>Úřadu</w:t>
                </w:r>
                <w:proofErr w:type="spellEnd"/>
                <w:r>
                  <w:rPr>
                    <w:rFonts w:ascii="Arial" w:hAnsi="Arial" w:cs="Arial"/>
                    <w:sz w:val="24"/>
                    <w:szCs w:val="24"/>
                    <w:lang w:val="en-US"/>
                  </w:rPr>
                  <w:t xml:space="preserve"> </w:t>
                </w:r>
                <w:proofErr w:type="spellStart"/>
                <w:r>
                  <w:rPr>
                    <w:rFonts w:ascii="Arial" w:hAnsi="Arial" w:cs="Arial"/>
                    <w:sz w:val="24"/>
                    <w:szCs w:val="24"/>
                    <w:lang w:val="en-US"/>
                  </w:rPr>
                  <w:t>práce</w:t>
                </w:r>
                <w:proofErr w:type="spellEnd"/>
                <w:r>
                  <w:rPr>
                    <w:rFonts w:ascii="Arial" w:hAnsi="Arial" w:cs="Arial"/>
                    <w:sz w:val="24"/>
                    <w:szCs w:val="24"/>
                    <w:lang w:val="en-US"/>
                  </w:rPr>
                  <w:t xml:space="preserve"> do 01.09.2019 (tj. do posledního pracovního dne měsíce následujícího po dni uvedeném jako poslední možný den pro použití příspěvku v bodu 3. tohoto článku) účetní doklady nebo podklady pro zaúčtování (faktura, paragon, stvrzenka, bankovní výpis apod.) splňující náležitosti účetního dokladu dle zákona č. 563/1991 Sb., o účetnictví, ve znění pozdějších předpisů, prokazující použití příspěvku podle bodů 2. a 3. tohoto článku dohody. Doložení těchto dokladů nebo podkladů pro zaúčtování je považováno za splnění povinnosti dle ustanovení § 146 odstavce 1 zákona o zaměstnanosti. Náklady ve výši 7 % průměrné měsíční mzdy v národním hospodářství za první až třetí čtvrtletí předcházejícího kalendářního roku definované v ustanovení § 8 odst. 1 písm. a) vyhlášky č. 518/2004 Sb., kterou se provádí zákon o zaměstnanosti, se nedokládají.</w:t>
                </w:r>
              </w:p>
            </w:tc>
          </w:tr>
        </w:tbl>
        <w:p>
          <w:pPr>
            <w:spacing w:before="120" w:after="0"/>
            <w:jc w:val="both"/>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nebude na stejný účel, tj. na tu část provozních nákladů,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w:t>
                </w:r>
                <w:r>
                  <w:rPr>
                    <w:rFonts w:ascii="Arial" w:hAnsi="Arial" w:cs="Arial"/>
                    <w:sz w:val="24"/>
                    <w:szCs w:val="24"/>
                    <w:lang w:val="en-US"/>
                  </w:rPr>
                  <w:br/>
                  <w:t>z jiných programů a projektů EU, ani jiných veřejných zdrojů.</w:t>
                </w:r>
              </w:p>
            </w:tc>
          </w:tr>
        </w:tbl>
        <w:p>
          <w:pPr>
            <w:spacing w:before="120" w:after="0"/>
            <w:jc w:val="both"/>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uzavřený s osobou se zdravotním postižením uvedenou v příloze č. 2 této dohody skončí v období uvedeném v Článku III pod bodem 1. této dohody, zaměstnavatel doručí písemné oznámení Úřadu práce o dni a způsobu skončení tohoto pracovního poměru, a to nejpozději do 10 pracovních dnů ode dne jeho skončení.</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II"/>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3"/>
            <w:gridCol w:w="9152"/>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na úhradu provozních nákladů vynaložených v souvislosti se zaměstnáváním osob se zdravotním postižením uvedených v příloze č. 2 této dohody za dobu od 31.07.2019 do 01.09.2019 ve výši 127 490,00 Kč (slovy: jednostodvacetsedmtisícčtyřistadevadesát korun českých korun českých). Jestliže se na tuto dohodu vztahuje povinnost uveřejnění prostřednictvím Registru smluv a dohoda nenabyde účinnosti do 01.09.2019, příspěvek na úhradu provozních nákladů vynaložených v souvislosti se zaměstnáváním osob se zdravotním postižením bude poskytnut za dobu ode dne zveřejnění této dohody v Registru smluv.</w:t>
                </w:r>
              </w:p>
            </w:tc>
          </w:tr>
        </w:tbl>
        <w:p>
          <w:pPr>
            <w:spacing w:before="120" w:after="0" w:line="240" w:lineRule="auto"/>
            <w:jc w:val="both"/>
            <w:rPr>
              <w:rFonts w:ascii="Arial" w:hAnsi="Arial" w:cs="Arial"/>
            </w:rPr>
          </w:pPr>
        </w:p>
      </w:sdtContent>
    </w:sdt>
    <w:sdt>
      <w:sdtPr>
        <w:rPr>
          <w:rFonts w:ascii="Arial" w:hAnsi="Arial" w:cs="Arial"/>
        </w:rPr>
        <w:tag w:val="$€CLANEK_III_2€DokumentVarTextFcd_getTextWithCode"/>
        <w:id w:val="861325927"/>
        <w:lock w:val="sdtContentLocked"/>
        <w:placeholder>
          <w:docPart w:val="3255F733998E406786CA8135D889434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je splatný nejpozději poslední den prvního měsíce období uvedeného v bodu 1. tohoto článku a bude poskytnut jednorázově převodem na účet č. XXXXXXXX.</w:t>
                </w:r>
              </w:p>
            </w:tc>
          </w:tr>
        </w:tbl>
        <w:p>
          <w:pPr>
            <w:spacing w:before="120" w:after="0" w:line="240" w:lineRule="auto"/>
            <w:jc w:val="both"/>
            <w:rPr>
              <w:rFonts w:ascii="Arial" w:hAnsi="Arial" w:cs="Arial"/>
            </w:rPr>
          </w:pPr>
        </w:p>
      </w:sdtContent>
    </w:sdt>
    <w:p>
      <w:pPr>
        <w:spacing w:after="0"/>
        <w:rPr>
          <w:rFonts w:ascii="Arial" w:hAnsi="Arial" w:cs="Arial"/>
        </w:rPr>
      </w:pPr>
    </w:p>
    <w:sdt>
      <w:sdtPr>
        <w:rPr>
          <w:rFonts w:ascii="Arial" w:hAnsi="Arial" w:cs="Arial"/>
          <w:b/>
        </w:rPr>
        <w:alias w:val="ČLÁNEK IV"/>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(zákon o finanční kontrole), ve znění pozdějších předpisů, včetně ověření výše skutečně vynaložených provozních nákladů.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jc w:val="both"/>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jc w:val="both"/>
            <w:rPr>
              <w:rFonts w:ascii="Arial" w:hAnsi="Arial" w:cs="Arial"/>
            </w:rPr>
          </w:pPr>
        </w:p>
      </w:sdtContent>
    </w:sdt>
    <w:p>
      <w:pPr>
        <w:spacing w:after="0"/>
        <w:rPr>
          <w:rFonts w:ascii="Arial" w:hAnsi="Arial" w:cs="Arial"/>
        </w:rPr>
      </w:pPr>
    </w:p>
    <w:sdt>
      <w:sdtPr>
        <w:rPr>
          <w:rFonts w:ascii="Arial" w:hAnsi="Arial" w:cs="Arial"/>
          <w:b/>
        </w:rPr>
        <w:alias w:val="ČLÁNEK V"/>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3€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příspěvku, přičemž lhůta 10 let se počítá od 1. ledna roku následujícího po roce, v němž byl příspěvek vyplacen.</w:t>
          </w:r>
        </w:p>
      </w:sdtContent>
    </w:sdt>
    <w:p>
      <w:pPr>
        <w:spacing w:after="0"/>
        <w:rPr>
          <w:rFonts w:ascii="Arial" w:hAnsi="Arial" w:cs="Arial"/>
        </w:rPr>
      </w:pPr>
    </w:p>
    <w:sdt>
      <w:sdtPr>
        <w:rPr>
          <w:rFonts w:ascii="Arial" w:hAnsi="Arial" w:cs="Arial"/>
          <w:b/>
        </w:rPr>
        <w:alias w:val="ČLÁNEK VI"/>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Tu část příspěvku, kterou zaměstnavatel nevyčerpal dle ujednání uvedených v Článku II pod body 2. a 3. této dohody nebo nedoložil její čerpání doklady jmenovanými v Článku II pod bodem 4. této dohody do 01.09.2019,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poměrnou část příspěvku, pokud pracovní poměr osoby se zdravotním postižením, na kterou byl příspěvek poskytnut, skončil v období uvedeném v Článku III pod bodem 1. této dohody. Při stanovení výše příspěvku, kterou je zaměstnavatel povinen vrátit, se vychází z výše poskytnutého příspěvku, z počtu kalendářních dnů, na které byl příspěvek poskytnut (Článek II, bod 3. této dohody) a z počtu kalendářních dnů, kdy pracovní poměr osoby se zdravotním postižením netrval.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Při nedodržení ujednání Článku II pod bodem 6. této dohody se zaměstnavatel zavazuje vrátit Úřadu práce 5 % z  příspěvku na provozní náklady poskytnutého na osobu se zdravotním postižením, o němž písemné oznámení o skončení pracovního poměru nebylo ve sjednaném termínu doručeno.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spacing w:before="120" w:after="0"/>
            <w:jc w:val="both"/>
            <w:rPr>
              <w:rFonts w:ascii="Arial" w:hAnsi="Arial" w:cs="Arial"/>
            </w:rPr>
          </w:pPr>
        </w:p>
      </w:sdtContent>
    </w:sdt>
    <w:sdt>
      <w:sdtPr>
        <w:rPr>
          <w:rFonts w:ascii="Arial" w:hAnsi="Arial" w:cs="Arial"/>
        </w:rPr>
        <w:tag w:val="$€CLANEK_VI_5€DokumentVarTextFcd_getTextWithCode"/>
        <w:id w:val="-1748490741"/>
        <w:lock w:val="sdtContentLocked"/>
        <w:placeholder>
          <w:docPart w:val="A75E98CA19C74AA59834BE98ECE611D1"/>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 2. tohoto článku.</w:t>
                </w:r>
              </w:p>
            </w:tc>
          </w:tr>
        </w:tbl>
        <w:p>
          <w:pPr>
            <w:spacing w:before="120" w:after="0"/>
            <w:jc w:val="both"/>
            <w:rPr>
              <w:rFonts w:ascii="Arial" w:hAnsi="Arial" w:cs="Arial"/>
            </w:rPr>
          </w:pPr>
        </w:p>
      </w:sdtContent>
    </w:sdt>
    <w:sdt>
      <w:sdtPr>
        <w:rPr>
          <w:rFonts w:ascii="Arial" w:hAnsi="Arial" w:cs="Arial"/>
        </w:rPr>
        <w:tag w:val="$€CLANEK_VI_6€DokumentVarTextFcd_getTextWithCode"/>
        <w:id w:val="-732540215"/>
        <w:lock w:val="sdtContentLocked"/>
        <w:placeholder>
          <w:docPart w:val="6B9E61185B444E48B79993E03798582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provedeno ve lhůtě 30 pracovních dnů ode dne, kdy tuto skutečnost zjistil nebo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7€DokumentVarTextFcd_getTextWithCode"/>
        <w:id w:val="1090977937"/>
        <w:lock w:val="sdtContentLocked"/>
        <w:placeholder>
          <w:docPart w:val="44B95648D7734DCFBEDF2974A1ABE97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vrací na účet, který zaměstnavateli písemně sdělí Úřad práce.</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Článku II pod bodem 5.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o rozpočtových pravidlech.</w:t>
                </w:r>
              </w:p>
            </w:tc>
          </w:tr>
        </w:tbl>
        <w:p>
          <w:pPr>
            <w:spacing w:before="120" w:after="0"/>
            <w:jc w:val="both"/>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poměrné části dle Článku VI pod body 1. až 6. této dohody je porušením rozpočtové kázně podle ustanovení § 44 odst. 1 písm. b) zákona o rozpočtových pravidlech a bude postihováno odvodem podle § 44a odst. 4 písm. b) zákona o rozpočtových pravidlech.</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I"/>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závažně poruší podmínky pro poskytnutí příspěvku uvedené v Článku II pod body 1. až 5. této dohody.</w:t>
                </w:r>
              </w:p>
            </w:tc>
          </w:tr>
        </w:tbl>
        <w:p>
          <w:pPr>
            <w:spacing w:before="120" w:after="0"/>
            <w:jc w:val="both"/>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jc w:val="both"/>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jc w:val="both"/>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doba v případech uvedených v bodech 1. až 3. tohoto článku činí jeden měsíc a počíná běžet prvním dnem kalendářního měsíce následujícího po doručení písemné výpovědi.</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X"/>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jc w:val="both"/>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jc w:val="both"/>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jc w:val="both"/>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jc w:val="both"/>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zaměstnavatele-fyzické osoby) přecházejí práva a povinnosti vyplývající z této dohody na její právní nástupce.</w:t>
                </w:r>
              </w:p>
            </w:tc>
          </w:tr>
        </w:tbl>
        <w:p>
          <w:pPr>
            <w:spacing w:before="120" w:after="0"/>
            <w:jc w:val="both"/>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jc w:val="both"/>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v informačních systémech týkajících se příjemců příspěvku.</w:t>
                </w:r>
              </w:p>
            </w:tc>
          </w:tr>
        </w:tbl>
        <w:p>
          <w:pPr>
            <w:spacing w:before="120" w:after="0"/>
            <w:jc w:val="both"/>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jc w:val="both"/>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jeho písemné vyžádání jakékoliv doplňující informace související s poskytnutím příspěvku, a to ve lhůtě stanovené Úřadem práce.</w:t>
                </w:r>
              </w:p>
            </w:tc>
          </w:tr>
        </w:tbl>
        <w:p>
          <w:pPr>
            <w:spacing w:before="120" w:after="0"/>
            <w:jc w:val="both"/>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60"/>
            <w:gridCol w:w="913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Nedílnou součástí této dohody jsou její přílohy:</w:t>
                </w:r>
              </w:p>
            </w:tc>
          </w:tr>
        </w:tbl>
        <w:p>
          <w:pPr>
            <w:spacing w:before="120" w:after="0"/>
            <w:jc w:val="both"/>
            <w:rPr>
              <w:rFonts w:ascii="Arial" w:hAnsi="Arial" w:cs="Arial"/>
            </w:rPr>
          </w:pPr>
        </w:p>
      </w:sdtContent>
    </w:sdt>
    <w:p>
      <w:pPr>
        <w:spacing w:after="0"/>
        <w:jc w:val="both"/>
        <w:rPr>
          <w:rFonts w:ascii="Arial" w:hAnsi="Arial" w:cs="Arial"/>
        </w:rPr>
      </w:pPr>
    </w:p>
    <w:p>
      <w:pPr>
        <w:spacing w:after="0"/>
        <w:jc w:val="both"/>
        <w:rPr>
          <w:rFonts w:ascii="Arial" w:hAnsi="Arial" w:cs="Arial"/>
        </w:rPr>
      </w:pPr>
    </w:p>
    <w:p>
      <w:pPr>
        <w:spacing w:after="0"/>
        <w:jc w:val="both"/>
        <w:rPr>
          <w:rFonts w:ascii="Arial" w:hAnsi="Arial" w:cs="Arial"/>
        </w:rPr>
      </w:pPr>
    </w:p>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31.07.2019</w:t>
          </w:r>
        </w:sdtContent>
      </w:sdt>
    </w:p>
    <w:sectPr>
      <w:headerReference w:type="even" r:id="rId8"/>
      <w:headerReference w:type="default" r:id="rId9"/>
      <w:footerReference w:type="even" r:id="rId10"/>
      <w:footerReference w:type="default" r:id="rId11"/>
      <w:headerReference w:type="first" r:id="rId12"/>
      <w:footerReference w:type="first" r:id="rId13"/>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773983796"/>
        <w:lock w:val="contentLocked"/>
        <w:picture/>
      </w:sdtPr>
      <w:sdtContent>
        <w:r>
          <w:rPr>
            <w:noProof/>
            <w:lang w:val="en-US"/>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waUxCUKmjxLuriaibqEx1Oxvf/8=" w:salt="GkjmEEyFGuLwXbrfOmuNS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3"/>
          </w:pPr>
          <w:r>
            <w:rPr>
              <w:rStyle w:val="PlaceholderText"/>
              <w:rFonts w:ascii="Arial" w:hAnsi="Arial" w:cs="Arial"/>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3"/>
          </w:pPr>
          <w:r>
            <w:rPr>
              <w:rStyle w:val="PlaceholderText"/>
              <w:rFonts w:ascii="Arial" w:hAnsi="Arial" w:cs="Arial"/>
              <w:b/>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3"/>
          </w:pPr>
          <w:r>
            <w:rPr>
              <w:rStyle w:val="PlaceholderText"/>
              <w:rFonts w:ascii="Arial" w:hAnsi="Arial" w:cs="Arial"/>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3"/>
          </w:pPr>
          <w:r>
            <w:rPr>
              <w:rStyle w:val="PlaceholderText"/>
              <w:rFonts w:ascii="Arial" w:hAnsi="Arial" w:cs="Arial"/>
              <w:b/>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3"/>
          </w:pPr>
          <w:r>
            <w:rPr>
              <w:rStyle w:val="PlaceholderText"/>
              <w:rFonts w:ascii="Arial" w:hAnsi="Arial" w:cs="Arial"/>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3"/>
          </w:pPr>
          <w:r>
            <w:rPr>
              <w:rStyle w:val="PlaceholderText"/>
              <w:rFonts w:ascii="Arial" w:hAnsi="Arial" w:cs="Arial"/>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3"/>
          </w:pPr>
          <w:r>
            <w:rPr>
              <w:rStyle w:val="PlaceholderText"/>
              <w:rFonts w:ascii="Arial" w:hAnsi="Arial" w:cs="Arial"/>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3"/>
          </w:pPr>
          <w:r>
            <w:rPr>
              <w:rStyle w:val="PlaceholderText"/>
              <w:rFonts w:ascii="Arial" w:hAnsi="Arial" w:cs="Arial"/>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3"/>
          </w:pPr>
          <w:r>
            <w:rPr>
              <w:rStyle w:val="PlaceholderText"/>
              <w:rFonts w:ascii="Arial" w:hAnsi="Arial" w:cs="Arial"/>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3"/>
          </w:pPr>
          <w:r>
            <w:rPr>
              <w:rStyle w:val="PlaceholderText"/>
              <w:rFonts w:ascii="Arial" w:hAnsi="Arial" w:cs="Arial"/>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3"/>
          </w:pPr>
          <w:r>
            <w:rPr>
              <w:rStyle w:val="PlaceholderText"/>
              <w:rFonts w:ascii="Arial" w:hAnsi="Arial" w:cs="Arial"/>
              <w:b/>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3"/>
          </w:pPr>
          <w:r>
            <w:rPr>
              <w:rStyle w:val="PlaceholderText"/>
              <w:rFonts w:ascii="Arial" w:hAnsi="Arial" w:cs="Arial"/>
            </w:rPr>
            <w:t>Click or tap here to enter text.</w:t>
          </w:r>
        </w:p>
      </w:docPartBody>
    </w:docPart>
    <w:docPart>
      <w:docPartPr>
        <w:name w:val="3255F733998E406786CA8135D8894343"/>
        <w:category>
          <w:name w:val="General"/>
          <w:gallery w:val="placeholder"/>
        </w:category>
        <w:types>
          <w:type w:val="bbPlcHdr"/>
        </w:types>
        <w:behaviors>
          <w:behavior w:val="content"/>
        </w:behaviors>
        <w:guid w:val="{E7461DBF-73F1-4C35-A336-5BC9661B0BE3}"/>
      </w:docPartPr>
      <w:docPartBody>
        <w:p>
          <w:pPr>
            <w:pStyle w:val="3255F733998E406786CA8135D88943433"/>
          </w:pPr>
          <w:r>
            <w:rPr>
              <w:rStyle w:val="PlaceholderText"/>
              <w:rFonts w:ascii="Arial" w:hAnsi="Arial" w:cs="Arial"/>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3"/>
          </w:pPr>
          <w:r>
            <w:rPr>
              <w:rStyle w:val="PlaceholderText"/>
              <w:rFonts w:ascii="Arial" w:hAnsi="Arial" w:cs="Arial"/>
              <w:b/>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3"/>
          </w:pPr>
          <w:r>
            <w:rPr>
              <w:rStyle w:val="PlaceholderText"/>
              <w:rFonts w:ascii="Arial" w:hAnsi="Arial" w:cs="Arial"/>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3"/>
          </w:pPr>
          <w:r>
            <w:rPr>
              <w:rStyle w:val="PlaceholderText"/>
              <w:rFonts w:ascii="Arial" w:hAnsi="Arial" w:cs="Arial"/>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3"/>
          </w:pPr>
          <w:r>
            <w:rPr>
              <w:rStyle w:val="PlaceholderText"/>
              <w:rFonts w:ascii="Arial" w:hAnsi="Arial" w:cs="Arial"/>
              <w:b/>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3"/>
          </w:pPr>
          <w:r>
            <w:rPr>
              <w:rStyle w:val="PlaceholderText"/>
              <w:rFonts w:ascii="Arial" w:hAnsi="Arial" w:cs="Arial"/>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3"/>
          </w:pPr>
          <w:r>
            <w:rPr>
              <w:rStyle w:val="PlaceholderText"/>
              <w:rFonts w:ascii="Arial" w:hAnsi="Arial" w:cs="Arial"/>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3"/>
          </w:pPr>
          <w:r>
            <w:rPr>
              <w:rStyle w:val="PlaceholderText"/>
              <w:rFonts w:ascii="Arial" w:hAnsi="Arial" w:cs="Arial"/>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3"/>
          </w:pPr>
          <w:r>
            <w:rPr>
              <w:rStyle w:val="PlaceholderText"/>
              <w:rFonts w:ascii="Arial" w:hAnsi="Arial" w:cs="Arial"/>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3"/>
          </w:pPr>
          <w:r>
            <w:rPr>
              <w:rStyle w:val="PlaceholderText"/>
              <w:rFonts w:ascii="Arial" w:hAnsi="Arial" w:cs="Arial"/>
              <w:b/>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3"/>
          </w:pPr>
          <w:r>
            <w:rPr>
              <w:rStyle w:val="PlaceholderText"/>
              <w:rFonts w:ascii="Arial" w:hAnsi="Arial" w:cs="Arial"/>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3"/>
          </w:pPr>
          <w:r>
            <w:rPr>
              <w:rStyle w:val="PlaceholderText"/>
              <w:rFonts w:ascii="Arial" w:hAnsi="Arial" w:cs="Arial"/>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3"/>
          </w:pPr>
          <w:r>
            <w:rPr>
              <w:rStyle w:val="PlaceholderText"/>
              <w:rFonts w:ascii="Arial" w:hAnsi="Arial" w:cs="Arial"/>
              <w:b/>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3"/>
          </w:pPr>
          <w:r>
            <w:rPr>
              <w:rStyle w:val="PlaceholderText"/>
              <w:rFonts w:ascii="Arial" w:hAnsi="Arial" w:cs="Arial"/>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3"/>
          </w:pPr>
          <w:r>
            <w:rPr>
              <w:rStyle w:val="PlaceholderText"/>
              <w:rFonts w:ascii="Arial" w:hAnsi="Arial" w:cs="Arial"/>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3"/>
          </w:pPr>
          <w:r>
            <w:rPr>
              <w:rStyle w:val="PlaceholderText"/>
              <w:rFonts w:ascii="Arial" w:hAnsi="Arial" w:cs="Arial"/>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3"/>
          </w:pPr>
          <w:r>
            <w:rPr>
              <w:rStyle w:val="PlaceholderText"/>
              <w:rFonts w:ascii="Arial" w:hAnsi="Arial" w:cs="Arial"/>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3"/>
          </w:pPr>
          <w:r>
            <w:rPr>
              <w:rStyle w:val="PlaceholderText"/>
              <w:rFonts w:ascii="Arial" w:hAnsi="Arial" w:cs="Arial"/>
              <w:b/>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3"/>
          </w:pPr>
          <w:r>
            <w:rPr>
              <w:rStyle w:val="PlaceholderText"/>
              <w:rFonts w:ascii="Arial" w:hAnsi="Arial" w:cs="Arial"/>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3"/>
          </w:pPr>
          <w:r>
            <w:rPr>
              <w:rStyle w:val="PlaceholderText"/>
              <w:rFonts w:ascii="Arial" w:hAnsi="Arial" w:cs="Arial"/>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3"/>
          </w:pPr>
          <w:r>
            <w:rPr>
              <w:rStyle w:val="PlaceholderText"/>
              <w:rFonts w:ascii="Arial" w:hAnsi="Arial" w:cs="Arial"/>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3"/>
          </w:pPr>
          <w:r>
            <w:rPr>
              <w:rStyle w:val="PlaceholderText"/>
              <w:rFonts w:ascii="Arial" w:hAnsi="Arial" w:cs="Arial"/>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3"/>
          </w:pPr>
          <w:r>
            <w:rPr>
              <w:rStyle w:val="PlaceholderText"/>
              <w:rFonts w:ascii="Arial" w:hAnsi="Arial" w:cs="Arial"/>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3"/>
          </w:pPr>
          <w:r>
            <w:rPr>
              <w:rStyle w:val="PlaceholderText"/>
              <w:rFonts w:ascii="Arial" w:hAnsi="Arial" w:cs="Arial"/>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3"/>
          </w:pPr>
          <w:r>
            <w:rPr>
              <w:rStyle w:val="PlaceholderText"/>
              <w:rFonts w:ascii="Arial" w:hAnsi="Arial" w:cs="Arial"/>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3"/>
          </w:pPr>
          <w:r>
            <w:rPr>
              <w:rStyle w:val="PlaceholderText"/>
              <w:rFonts w:ascii="Arial" w:hAnsi="Arial" w:cs="Arial"/>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3"/>
          </w:pPr>
          <w:r>
            <w:rPr>
              <w:rStyle w:val="PlaceholderText"/>
              <w:rFonts w:ascii="Arial" w:hAnsi="Arial" w:cs="Arial"/>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3"/>
          </w:pPr>
          <w:r>
            <w:rPr>
              <w:rStyle w:val="PlaceholderText"/>
              <w:rFonts w:ascii="Arial" w:hAnsi="Arial" w:cs="Arial"/>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3"/>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3"/>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2"/>
          </w:pPr>
          <w:r>
            <w:rPr>
              <w:rStyle w:val="PlaceholderText"/>
              <w:rFonts w:ascii="Arial" w:hAnsi="Arial" w:cs="Arial"/>
              <w:b/>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2"/>
          </w:pPr>
          <w:r>
            <w:rPr>
              <w:rStyle w:val="PlaceholderText"/>
              <w:rFonts w:ascii="Arial" w:hAnsi="Arial" w:cs="Arial"/>
              <w:b/>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2"/>
          </w:pPr>
          <w:r>
            <w:rPr>
              <w:rStyle w:val="PlaceholderText"/>
              <w:rFonts w:ascii="Arial" w:hAnsi="Arial" w:cs="Arial"/>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2"/>
          </w:pPr>
          <w:r>
            <w:rPr>
              <w:rStyle w:val="PlaceholderText"/>
              <w:rFonts w:ascii="Arial" w:hAnsi="Arial" w:cs="Arial"/>
              <w:b/>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2"/>
          </w:pPr>
          <w:r>
            <w:rPr>
              <w:rStyle w:val="PlaceholderText"/>
              <w:rFonts w:ascii="Arial" w:hAnsi="Arial" w:cs="Arial"/>
            </w:rPr>
            <w:t>Click or tap here to enter text.</w:t>
          </w:r>
        </w:p>
      </w:docPartBody>
    </w:docPart>
    <w:docPart>
      <w:docPartPr>
        <w:name w:val="A75E98CA19C74AA59834BE98ECE611D1"/>
        <w:category>
          <w:name w:val="General"/>
          <w:gallery w:val="placeholder"/>
        </w:category>
        <w:types>
          <w:type w:val="bbPlcHdr"/>
        </w:types>
        <w:behaviors>
          <w:behavior w:val="content"/>
        </w:behaviors>
        <w:guid w:val="{9F211A24-5F71-43FD-8A2E-1EA826150396}"/>
      </w:docPartPr>
      <w:docPartBody>
        <w:p>
          <w:pPr>
            <w:pStyle w:val="A75E98CA19C74AA59834BE98ECE611D1"/>
          </w:pPr>
          <w:r>
            <w:rPr>
              <w:rStyle w:val="PlaceholderText"/>
              <w:rFonts w:ascii="Arial" w:hAnsi="Arial" w:cs="Arial"/>
            </w:rPr>
            <w:t>Click or tap here to enter text.</w:t>
          </w:r>
        </w:p>
      </w:docPartBody>
    </w:docPart>
    <w:docPart>
      <w:docPartPr>
        <w:name w:val="6B9E61185B444E48B79993E037985827"/>
        <w:category>
          <w:name w:val="General"/>
          <w:gallery w:val="placeholder"/>
        </w:category>
        <w:types>
          <w:type w:val="bbPlcHdr"/>
        </w:types>
        <w:behaviors>
          <w:behavior w:val="content"/>
        </w:behaviors>
        <w:guid w:val="{CBE527D4-3608-4D2F-99C8-C8B2A0797F01}"/>
      </w:docPartPr>
      <w:docPartBody>
        <w:p>
          <w:pPr>
            <w:pStyle w:val="6B9E61185B444E48B79993E037985827"/>
          </w:pPr>
          <w:r>
            <w:rPr>
              <w:rStyle w:val="PlaceholderText"/>
              <w:rFonts w:ascii="Arial" w:hAnsi="Arial" w:cs="Arial"/>
            </w:rPr>
            <w:t>Click or tap here to enter text.</w:t>
          </w:r>
        </w:p>
      </w:docPartBody>
    </w:docPart>
    <w:docPart>
      <w:docPartPr>
        <w:name w:val="44B95648D7734DCFBEDF2974A1ABE972"/>
        <w:category>
          <w:name w:val="General"/>
          <w:gallery w:val="placeholder"/>
        </w:category>
        <w:types>
          <w:type w:val="bbPlcHdr"/>
        </w:types>
        <w:behaviors>
          <w:behavior w:val="content"/>
        </w:behaviors>
        <w:guid w:val="{462B4E95-8AEA-4560-8B79-A37AFD050DB2}"/>
      </w:docPartPr>
      <w:docPartBody>
        <w:p>
          <w:pPr>
            <w:pStyle w:val="44B95648D7734DCFBEDF2974A1ABE972"/>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BA35A-28A2-4F4A-91EF-9BC8C67A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10463</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Tomáš Richta</cp:lastModifiedBy>
  <cp:revision>9</cp:revision>
  <dcterms:created xsi:type="dcterms:W3CDTF">2019-02-27T08:28:00Z</dcterms:created>
  <dcterms:modified xsi:type="dcterms:W3CDTF">2019-07-31T10:44:00Z</dcterms:modified>
</cp:coreProperties>
</file>