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PPM-PP-73/2019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16.07.2019 do 17.08.2019.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17.08.2019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8"/>
            <w:gridCol w:w="9147"/>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16.07.2019 do 17.08.2019 ve výši 101 408,00 Kč (slovy: jednostojedentisícčtyřistaosm korun českých korun českých). Jestliže se na tuto dohodu vztahuje povinnost uveřejnění prostřednictvím Registru smluv a dohoda nenabyde účinnosti do 17.08.2019,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17.08.2019,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Plzni</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16.07.2019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lI4ZQ6GC3SWEMWxbFBqe5zhZHo=" w:salt="z6VeC/WfOWPpkCpb3YUi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DF9D-86EE-4BF2-B6C7-52D6283D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1833</Words>
  <Characters>10454</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2019-07-16T07:23:00Z</dcterms:modified>
</cp:coreProperties>
</file>