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PPM-SV-401/2019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KOCOUR TRADE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roofErr w:type="spellStart"/>
                <w:r>
                  <w:rPr>
                    <w:rFonts w:ascii="Arial" w:hAnsi="Arial" w:cs="Arial"/>
                    <w:sz w:val="24"/>
                    <w:szCs w:val="24"/>
                  </w:rPr>
                  <w:t>Zaměstnavatel</w:t>
                </w:r>
                <w:proofErr w:type="spellEnd"/>
                <w:r>
                  <w:rPr>
                    <w:rFonts w:ascii="Arial" w:hAnsi="Arial" w:cs="Arial"/>
                    <w:sz w:val="24"/>
                    <w:szCs w:val="24"/>
                  </w:rPr>
                  <w:t xml:space="preserve"> </w:t>
                </w:r>
                <w:proofErr w:type="spellStart"/>
                <w:r>
                  <w:rPr>
                    <w:rFonts w:ascii="Arial" w:hAnsi="Arial" w:cs="Arial"/>
                    <w:sz w:val="24"/>
                    <w:szCs w:val="24"/>
                  </w:rPr>
                  <w:t>uzavře</w:t>
                </w:r>
                <w:proofErr w:type="spellEnd"/>
                <w:r>
                  <w:rPr>
                    <w:rFonts w:ascii="Arial" w:hAnsi="Arial" w:cs="Arial"/>
                    <w:sz w:val="24"/>
                    <w:szCs w:val="24"/>
                  </w:rPr>
                  <w:t xml:space="preserve"> se </w:t>
                </w:r>
                <w:proofErr w:type="spellStart"/>
                <w:r>
                  <w:rPr>
                    <w:rFonts w:ascii="Arial" w:hAnsi="Arial" w:cs="Arial"/>
                    <w:sz w:val="24"/>
                    <w:szCs w:val="24"/>
                  </w:rPr>
                  <w:t>zaměstnancem</w:t>
                </w:r>
                <w:proofErr w:type="spellEnd"/>
                <w:r>
                  <w:rPr>
                    <w:rFonts w:ascii="Arial" w:hAnsi="Arial" w:cs="Arial"/>
                    <w:sz w:val="24"/>
                    <w:szCs w:val="24"/>
                  </w:rPr>
                  <w:t xml:space="preserve">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20.06.2019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21.07.2019,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85 074 Kč měsíčně. Součet poskytnutých měsíčních příspěvků nepřekročí částku 170 148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20.06.2019 do 21.07.2019. Jestliže se na tuto dohodu vztahuje povinnost uveřejnění prostřednictvím Registru smluv a dohoda nenabyde účinnosti dle Článku IX bod 2. této dohody do 20.06.2019,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123/0710.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24.06.2019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Tl+QZT91WwRqxm/Ex2AUVtjr3/w=" w:salt="LaNjceBBKj3fo5Xj7Epc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ADB25310-A5F7-4CF6-921B-965B8658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