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49C02" w14:textId="77777777" w:rsidR="00B9352B" w:rsidRPr="00A838F2" w:rsidRDefault="00B9352B" w:rsidP="008D65CF">
      <w:pPr>
        <w:jc w:val="both"/>
        <w:rPr>
          <w:b/>
        </w:rPr>
      </w:pPr>
      <w:r>
        <w:rPr>
          <w:b/>
        </w:rPr>
        <w:t>Povinná e</w:t>
      </w:r>
      <w:r w:rsidRPr="00A838F2">
        <w:rPr>
          <w:b/>
        </w:rPr>
        <w:t>lektronická komunikace v zadávacím řízení</w:t>
      </w:r>
      <w:r>
        <w:rPr>
          <w:b/>
        </w:rPr>
        <w:t xml:space="preserve"> od 18. října 2018</w:t>
      </w:r>
    </w:p>
    <w:p w14:paraId="44C1B3B2" w14:textId="77777777" w:rsidR="00B9352B" w:rsidRPr="00B9352B" w:rsidRDefault="00B9352B" w:rsidP="008D65CF">
      <w:pPr>
        <w:jc w:val="both"/>
        <w:rPr>
          <w:u w:val="single"/>
        </w:rPr>
      </w:pPr>
      <w:r w:rsidRPr="00B9352B">
        <w:rPr>
          <w:u w:val="single"/>
        </w:rPr>
        <w:t>Na koho</w:t>
      </w:r>
      <w:r>
        <w:rPr>
          <w:u w:val="single"/>
        </w:rPr>
        <w:t xml:space="preserve"> a od kdy</w:t>
      </w:r>
      <w:r w:rsidRPr="00B9352B">
        <w:rPr>
          <w:u w:val="single"/>
        </w:rPr>
        <w:t xml:space="preserve"> se povinná elektronická komunikace v zadávacím řízení vztahuje?</w:t>
      </w:r>
    </w:p>
    <w:p w14:paraId="56178BA1" w14:textId="77777777" w:rsidR="00B9352B" w:rsidRDefault="00B9352B" w:rsidP="008D65CF">
      <w:pPr>
        <w:jc w:val="both"/>
      </w:pPr>
      <w:r>
        <w:t>Na všechny zadavatele</w:t>
      </w:r>
      <w:r w:rsidR="002D2C5E">
        <w:t xml:space="preserve"> veřejných zakázek</w:t>
      </w:r>
      <w:r>
        <w:t xml:space="preserve"> (§ 4 zákona o zadávání veřejných zakázek), kteří budou</w:t>
      </w:r>
      <w:r w:rsidR="0068482A">
        <w:t xml:space="preserve"> po 18. říjnu 2018</w:t>
      </w:r>
      <w:r>
        <w:t xml:space="preserve"> zadávat veřejnou zakázku v zadávacím řízení. Na </w:t>
      </w:r>
      <w:r w:rsidR="00340976">
        <w:rPr>
          <w:rFonts w:eastAsia="Times New Roman"/>
        </w:rPr>
        <w:t xml:space="preserve">státní a centrální zadavatele </w:t>
      </w:r>
      <w:r>
        <w:t xml:space="preserve">se tato povinnost vztahuje již od 18. dubna 2017. Od 18. října 2018 bude tato povinnost vztažena </w:t>
      </w:r>
      <w:r w:rsidR="00B61644">
        <w:t xml:space="preserve">i </w:t>
      </w:r>
      <w:r>
        <w:t xml:space="preserve">na všechny ostatní zadavatele. </w:t>
      </w:r>
    </w:p>
    <w:p w14:paraId="605482C4" w14:textId="77777777" w:rsidR="00B9352B" w:rsidRPr="002F638B" w:rsidRDefault="00B9352B" w:rsidP="008D65CF">
      <w:pPr>
        <w:jc w:val="both"/>
        <w:rPr>
          <w:u w:val="single"/>
        </w:rPr>
      </w:pPr>
      <w:r w:rsidRPr="002F638B">
        <w:rPr>
          <w:u w:val="single"/>
        </w:rPr>
        <w:t>Co s probíhajícími zadávacími řízeními?</w:t>
      </w:r>
    </w:p>
    <w:p w14:paraId="25298CE5" w14:textId="6FD19ACA" w:rsidR="00B9352B" w:rsidRDefault="00B9352B" w:rsidP="008D65CF">
      <w:pPr>
        <w:jc w:val="both"/>
      </w:pPr>
      <w:r>
        <w:t>Povinnost elektronické komunikace se bude od 18. října 2018 vztahovat i na probíhající zadávací ří</w:t>
      </w:r>
      <w:r w:rsidR="00340976">
        <w:t xml:space="preserve">zení zahájená před tímto datem, není tedy rozhodující okamžik zahájení zadávacího řízení, ale okamžik, kdy dochází ke komunikaci mezi zadavatelem a dodavatelem. </w:t>
      </w:r>
      <w:r>
        <w:t xml:space="preserve">Bližší vysvětlení </w:t>
      </w:r>
      <w:hyperlink r:id="rId7" w:history="1">
        <w:r w:rsidRPr="004B19C5">
          <w:rPr>
            <w:rStyle w:val="Hypertextovodkaz"/>
          </w:rPr>
          <w:t>viz</w:t>
        </w:r>
      </w:hyperlink>
      <w:bookmarkStart w:id="0" w:name="_GoBack"/>
      <w:bookmarkEnd w:id="0"/>
    </w:p>
    <w:p w14:paraId="460EF20D" w14:textId="77777777" w:rsidR="00B9352B" w:rsidRPr="002F638B" w:rsidRDefault="00B9352B" w:rsidP="008D65CF">
      <w:pPr>
        <w:jc w:val="both"/>
        <w:rPr>
          <w:u w:val="single"/>
        </w:rPr>
      </w:pPr>
      <w:r w:rsidRPr="002F638B">
        <w:rPr>
          <w:u w:val="single"/>
        </w:rPr>
        <w:t>Vztahuje se povinná elektronická komunikace na všechny veřejné zakázky?</w:t>
      </w:r>
    </w:p>
    <w:p w14:paraId="4668B3CA" w14:textId="70E8B9A9" w:rsidR="00B9352B" w:rsidRDefault="00B9352B" w:rsidP="008D65CF">
      <w:pPr>
        <w:jc w:val="both"/>
      </w:pPr>
      <w:r>
        <w:t xml:space="preserve">Nikoli, tato povinnost dopadá pouze na veřejné zakázky zadávané v zadávacích řízeních (zejména zjednodušené podlimitní řízení, otevřené řízení, užší řízení, jednací řízení s uveřejněním). Veřejné zakázky zadávané mimo zadávací řízení mohou být dále realizovány v listinné podobě. Jedná se zejména o </w:t>
      </w:r>
      <w:hyperlink r:id="rId8" w:history="1">
        <w:r w:rsidRPr="005768FD">
          <w:rPr>
            <w:rStyle w:val="Hypertextovodkaz"/>
          </w:rPr>
          <w:t>veřejné zakázky malého rozsahu</w:t>
        </w:r>
      </w:hyperlink>
      <w:r>
        <w:t xml:space="preserve"> (§ </w:t>
      </w:r>
      <w:r w:rsidR="002F638B">
        <w:t>31 zákona o zadávání veřejných zakázek), a veřejné zakázky zadávané na základě výjimek (zejména § 29 a § 30 zákona o zadávání veřejných zakázek).</w:t>
      </w:r>
    </w:p>
    <w:p w14:paraId="39C628C5" w14:textId="77777777" w:rsidR="002F638B" w:rsidRPr="002F638B" w:rsidRDefault="002F638B" w:rsidP="008D65CF">
      <w:pPr>
        <w:jc w:val="both"/>
        <w:rPr>
          <w:u w:val="single"/>
        </w:rPr>
      </w:pPr>
      <w:r w:rsidRPr="002F638B">
        <w:rPr>
          <w:u w:val="single"/>
        </w:rPr>
        <w:t>Na jakou komunikaci se povinnost vztahuje?</w:t>
      </w:r>
    </w:p>
    <w:p w14:paraId="0216E5FC" w14:textId="77777777" w:rsidR="002F638B" w:rsidRDefault="002F638B" w:rsidP="008D65CF">
      <w:pPr>
        <w:jc w:val="both"/>
      </w:pPr>
      <w:r>
        <w:t>Povinně elektronicky bude probíhat písemná komunikace mezi zadavatelem a dodavatelem v průběhu zadávacího řízení. Povinnost se tedy nevztahuje na komunikaci s jinými subjekty (například komunikace mezi zadavatelem a administrátorem, interní komunikace u zadavatele) a na komunikaci před zahájením (průzkum trhu, předběžné tržní konzultace) a po ukončení zadávacího řízení (při plnění smlouvy). Není vyloučena také ústní komunikace tam, kde ji zákon o zadávání veřejných zakázek připouští (jednání v jednacích řízeních).</w:t>
      </w:r>
    </w:p>
    <w:p w14:paraId="4381B4E9" w14:textId="77777777" w:rsidR="002F638B" w:rsidRPr="001830B0" w:rsidRDefault="002F638B" w:rsidP="008D65CF">
      <w:pPr>
        <w:jc w:val="both"/>
        <w:rPr>
          <w:u w:val="single"/>
        </w:rPr>
      </w:pPr>
      <w:r w:rsidRPr="001830B0">
        <w:rPr>
          <w:u w:val="single"/>
        </w:rPr>
        <w:t>Musí mít zadavatel k dispozici elektronický nástroj?</w:t>
      </w:r>
    </w:p>
    <w:p w14:paraId="6206299C" w14:textId="77777777" w:rsidR="002F638B" w:rsidRDefault="002F638B" w:rsidP="008D65CF">
      <w:pPr>
        <w:jc w:val="both"/>
      </w:pPr>
      <w:r>
        <w:t>Pokud bude zadavatel zadávat veřejnou zakázku v zadávacím řízení</w:t>
      </w:r>
      <w:r w:rsidR="001830B0">
        <w:t>,</w:t>
      </w:r>
      <w:r>
        <w:t xml:space="preserve"> bude muset mít k dispozici elektronický nástroj umožňující podávání elektronických nabídek. Tento elektronický nástroj zadavatel tedy nemusí mít k dispozici k 18. říjnu 2018, ale až tehdy, kdy</w:t>
      </w:r>
      <w:r w:rsidR="0068482A">
        <w:t xml:space="preserve"> bude</w:t>
      </w:r>
      <w:r>
        <w:t xml:space="preserve"> </w:t>
      </w:r>
      <w:r w:rsidR="001830B0">
        <w:t xml:space="preserve">po tomto datu poprvé zadávat zakázku v zadávacím řízení. </w:t>
      </w:r>
    </w:p>
    <w:p w14:paraId="217723C9" w14:textId="77777777" w:rsidR="001830B0" w:rsidRPr="001830B0" w:rsidRDefault="001830B0" w:rsidP="008D65CF">
      <w:pPr>
        <w:jc w:val="both"/>
        <w:rPr>
          <w:u w:val="single"/>
        </w:rPr>
      </w:pPr>
      <w:r w:rsidRPr="001830B0">
        <w:rPr>
          <w:u w:val="single"/>
        </w:rPr>
        <w:t>Které elektronické nástroje umožňují příjmení nabídek?</w:t>
      </w:r>
    </w:p>
    <w:p w14:paraId="72A48EE3" w14:textId="7A06BA7D" w:rsidR="0068482A" w:rsidRDefault="001830B0" w:rsidP="008D65CF">
      <w:pPr>
        <w:jc w:val="both"/>
      </w:pPr>
      <w:r>
        <w:t xml:space="preserve">Zadavatelé mají k dispozici tyto certifikované nástroje umožňující </w:t>
      </w:r>
      <w:hyperlink r:id="rId9" w:history="1">
        <w:r w:rsidRPr="005768FD">
          <w:rPr>
            <w:rStyle w:val="Hypertextovodkaz"/>
          </w:rPr>
          <w:t>podávání nabídek</w:t>
        </w:r>
      </w:hyperlink>
      <w:r>
        <w:t>. Zadavatel může používat i elektronické nástroje necertifikované</w:t>
      </w:r>
      <w:r w:rsidR="00865A5F">
        <w:t xml:space="preserve">, ty však musí být v souladu </w:t>
      </w:r>
      <w:r>
        <w:t xml:space="preserve">s technickými požadavky stanovenými zákonem o zadávání veřejných zakázek a vyhláškou č. 260/2016 sb., </w:t>
      </w:r>
      <w:r w:rsidR="0068482A" w:rsidRPr="0068482A">
        <w:t>o stanovení podrobnějších podmínek týkajících se elektronických nástrojů, elektronických úkonů při zadávání veřejn</w:t>
      </w:r>
      <w:r w:rsidR="00FC67AC">
        <w:t>ých zakázek a certifikátu shody</w:t>
      </w:r>
      <w:r w:rsidR="00865A5F">
        <w:t>. Na zadavateli potom je, aby v případě sporu byl schopen tento soulad s vyhláškou č. 260/2016 Sb. prokázat.</w:t>
      </w:r>
    </w:p>
    <w:p w14:paraId="2E0A9580" w14:textId="77777777" w:rsidR="001830B0" w:rsidRPr="001830B0" w:rsidRDefault="001830B0" w:rsidP="008D65CF">
      <w:pPr>
        <w:jc w:val="both"/>
        <w:rPr>
          <w:u w:val="single"/>
        </w:rPr>
      </w:pPr>
      <w:r w:rsidRPr="001830B0">
        <w:rPr>
          <w:u w:val="single"/>
        </w:rPr>
        <w:t>Mohu používat stávající profil zadavatele?</w:t>
      </w:r>
    </w:p>
    <w:p w14:paraId="67160CDD" w14:textId="394F42AB" w:rsidR="001830B0" w:rsidRDefault="001830B0" w:rsidP="008D65CF">
      <w:pPr>
        <w:jc w:val="both"/>
      </w:pPr>
      <w:r>
        <w:lastRenderedPageBreak/>
        <w:t>Kromě elektronického nástroje umožňujícího přijímání nabídek musí mít zadavatel k dispozici profil zadavatele, který slouží k uveřejňování informací o zadávacích řízeních a uzavřených smlouvách. Tato povinnost platí již před 18. říjnem 2018. V souvislosti s povinnou elektronickou komunikací není</w:t>
      </w:r>
      <w:r w:rsidR="0068482A">
        <w:t xml:space="preserve"> nutné profil zadavatele měnit. </w:t>
      </w:r>
      <w:r>
        <w:t>Pokud by si však zadavatel pořizoval elektronický nástroj sloužící k podávání nabídek a tento chtěl používat současně jako profil zadavatele, je třeba upozornit na to, že zadavatel může současně používat pouze jeden profil zadavatele. Výjimkou je pouze Národní elektronický nástroj, který lze používat jako profil zadavatele souběžně s jiným profilem zadavatele</w:t>
      </w:r>
      <w:r w:rsidR="00340976">
        <w:t xml:space="preserve">, blíže </w:t>
      </w:r>
      <w:hyperlink r:id="rId10" w:history="1">
        <w:r w:rsidR="00340976" w:rsidRPr="005768FD">
          <w:rPr>
            <w:rStyle w:val="Hypertextovodkaz"/>
          </w:rPr>
          <w:t>zde</w:t>
        </w:r>
      </w:hyperlink>
      <w:r>
        <w:t xml:space="preserve">. </w:t>
      </w:r>
    </w:p>
    <w:p w14:paraId="53F8716C" w14:textId="77777777" w:rsidR="00A065F0" w:rsidRDefault="00A065F0" w:rsidP="008D65CF">
      <w:pPr>
        <w:jc w:val="both"/>
      </w:pPr>
      <w:r>
        <w:t>Záleží tedy na rozhodnutí zadavatele</w:t>
      </w:r>
      <w:r w:rsidR="0068482A">
        <w:t>,</w:t>
      </w:r>
      <w:r>
        <w:t xml:space="preserve"> zd</w:t>
      </w:r>
      <w:r w:rsidR="0068482A">
        <w:t>a</w:t>
      </w:r>
      <w:r>
        <w:t xml:space="preserve"> pro příjem nabídek a i uveřejňování informací na profilu zadavatele používat jeden elektronický nástroj, nebo bude mít </w:t>
      </w:r>
      <w:r w:rsidR="006D027A">
        <w:t>jeden elektronický nástroj pro příjem nabídek a jeden elektronický nástroj</w:t>
      </w:r>
      <w:r>
        <w:t xml:space="preserve"> jako profil zadavatele. </w:t>
      </w:r>
    </w:p>
    <w:p w14:paraId="7D240EBA" w14:textId="77777777" w:rsidR="00A065F0" w:rsidRPr="00A065F0" w:rsidRDefault="00A065F0" w:rsidP="008D65CF">
      <w:pPr>
        <w:jc w:val="both"/>
        <w:rPr>
          <w:u w:val="single"/>
        </w:rPr>
      </w:pPr>
      <w:r w:rsidRPr="00A065F0">
        <w:rPr>
          <w:u w:val="single"/>
        </w:rPr>
        <w:t>Je nutné veškerou elektronickou komunikaci provádět prostřednictvím elektronického nástroje?</w:t>
      </w:r>
    </w:p>
    <w:p w14:paraId="6B55F53F" w14:textId="77777777" w:rsidR="00A065F0" w:rsidRDefault="00A065F0" w:rsidP="008D65CF">
      <w:pPr>
        <w:widowControl w:val="0"/>
        <w:autoSpaceDE w:val="0"/>
        <w:autoSpaceDN w:val="0"/>
        <w:adjustRightInd w:val="0"/>
        <w:spacing w:after="0" w:line="240" w:lineRule="auto"/>
        <w:jc w:val="both"/>
      </w:pPr>
      <w:r>
        <w:t xml:space="preserve">Prostřednictvím elektronického nástroje je nutné provádět příjem </w:t>
      </w:r>
    </w:p>
    <w:p w14:paraId="5BAE5F81" w14:textId="77777777" w:rsidR="00A065F0" w:rsidRPr="00A065F0" w:rsidRDefault="00A065F0" w:rsidP="008D65CF">
      <w:pPr>
        <w:pStyle w:val="Odstavecseseznamem"/>
        <w:widowControl w:val="0"/>
        <w:numPr>
          <w:ilvl w:val="0"/>
          <w:numId w:val="3"/>
        </w:numPr>
        <w:autoSpaceDE w:val="0"/>
        <w:autoSpaceDN w:val="0"/>
        <w:adjustRightInd w:val="0"/>
        <w:spacing w:after="0" w:line="240" w:lineRule="auto"/>
        <w:jc w:val="both"/>
      </w:pPr>
      <w:r w:rsidRPr="00A065F0">
        <w:t>nabídek,</w:t>
      </w:r>
    </w:p>
    <w:p w14:paraId="4B92CE2D" w14:textId="77777777" w:rsidR="00A065F0" w:rsidRPr="00A065F0" w:rsidRDefault="00A065F0" w:rsidP="008D65CF">
      <w:pPr>
        <w:pStyle w:val="Odstavecseseznamem"/>
        <w:widowControl w:val="0"/>
        <w:numPr>
          <w:ilvl w:val="0"/>
          <w:numId w:val="3"/>
        </w:numPr>
        <w:autoSpaceDE w:val="0"/>
        <w:autoSpaceDN w:val="0"/>
        <w:adjustRightInd w:val="0"/>
        <w:spacing w:after="0" w:line="240" w:lineRule="auto"/>
        <w:jc w:val="both"/>
      </w:pPr>
      <w:r w:rsidRPr="00A065F0">
        <w:t>předběžných nabídek</w:t>
      </w:r>
      <w:r>
        <w:t xml:space="preserve"> (jednací řízení s uveřejněním)</w:t>
      </w:r>
      <w:r w:rsidRPr="00A065F0">
        <w:t>,</w:t>
      </w:r>
    </w:p>
    <w:p w14:paraId="59FC66EB" w14:textId="77777777" w:rsidR="00A065F0" w:rsidRPr="00A065F0" w:rsidRDefault="00A065F0" w:rsidP="008D65CF">
      <w:pPr>
        <w:pStyle w:val="Odstavecseseznamem"/>
        <w:widowControl w:val="0"/>
        <w:numPr>
          <w:ilvl w:val="0"/>
          <w:numId w:val="3"/>
        </w:numPr>
        <w:autoSpaceDE w:val="0"/>
        <w:autoSpaceDN w:val="0"/>
        <w:adjustRightInd w:val="0"/>
        <w:spacing w:after="0" w:line="240" w:lineRule="auto"/>
        <w:jc w:val="both"/>
      </w:pPr>
      <w:r w:rsidRPr="00A065F0">
        <w:t>žádostí o účast</w:t>
      </w:r>
      <w:r>
        <w:t xml:space="preserve"> (užší řízení, jednací řízení s uveřejněním)</w:t>
      </w:r>
      <w:r w:rsidRPr="00A065F0">
        <w:t>,</w:t>
      </w:r>
    </w:p>
    <w:p w14:paraId="430525A7" w14:textId="77777777" w:rsidR="00A065F0" w:rsidRPr="00A065F0" w:rsidRDefault="00A065F0" w:rsidP="008D65CF">
      <w:pPr>
        <w:pStyle w:val="Odstavecseseznamem"/>
        <w:widowControl w:val="0"/>
        <w:numPr>
          <w:ilvl w:val="0"/>
          <w:numId w:val="3"/>
        </w:numPr>
        <w:autoSpaceDE w:val="0"/>
        <w:autoSpaceDN w:val="0"/>
        <w:adjustRightInd w:val="0"/>
        <w:spacing w:after="0" w:line="240" w:lineRule="auto"/>
        <w:jc w:val="both"/>
      </w:pPr>
      <w:r w:rsidRPr="00A065F0">
        <w:t>žádosti o zařazení do systému kvalifikace podle § 166 odst. 5</w:t>
      </w:r>
      <w:r>
        <w:t xml:space="preserve"> (sektoroví zadavatelé)</w:t>
      </w:r>
      <w:r w:rsidRPr="00A065F0">
        <w:t>,</w:t>
      </w:r>
    </w:p>
    <w:p w14:paraId="3782612B" w14:textId="77777777" w:rsidR="00A065F0" w:rsidRPr="00A065F0" w:rsidRDefault="00A065F0" w:rsidP="008D65CF">
      <w:pPr>
        <w:pStyle w:val="Odstavecseseznamem"/>
        <w:widowControl w:val="0"/>
        <w:numPr>
          <w:ilvl w:val="0"/>
          <w:numId w:val="3"/>
        </w:numPr>
        <w:autoSpaceDE w:val="0"/>
        <w:autoSpaceDN w:val="0"/>
        <w:adjustRightInd w:val="0"/>
        <w:spacing w:after="0" w:line="240" w:lineRule="auto"/>
        <w:jc w:val="both"/>
      </w:pPr>
      <w:r w:rsidRPr="00A065F0">
        <w:t>žádostí o účast nebo návrhů v soutěži o návrh, nebo</w:t>
      </w:r>
    </w:p>
    <w:p w14:paraId="1FD67EDF" w14:textId="77777777" w:rsidR="00A065F0" w:rsidRDefault="00A065F0" w:rsidP="008D65CF">
      <w:pPr>
        <w:pStyle w:val="Odstavecseseznamem"/>
        <w:widowControl w:val="0"/>
        <w:numPr>
          <w:ilvl w:val="0"/>
          <w:numId w:val="3"/>
        </w:numPr>
        <w:autoSpaceDE w:val="0"/>
        <w:autoSpaceDN w:val="0"/>
        <w:adjustRightInd w:val="0"/>
        <w:spacing w:after="0" w:line="240" w:lineRule="auto"/>
        <w:jc w:val="both"/>
      </w:pPr>
      <w:r w:rsidRPr="00A065F0">
        <w:t>aukčních hodnot</w:t>
      </w:r>
      <w:r>
        <w:t>, pokud se v zadávacím řízení provádí elektronická aukce.</w:t>
      </w:r>
    </w:p>
    <w:p w14:paraId="02CDF919" w14:textId="77777777" w:rsidR="00A065F0" w:rsidRDefault="00A065F0" w:rsidP="008D65CF">
      <w:pPr>
        <w:widowControl w:val="0"/>
        <w:autoSpaceDE w:val="0"/>
        <w:autoSpaceDN w:val="0"/>
        <w:adjustRightInd w:val="0"/>
        <w:spacing w:after="0" w:line="240" w:lineRule="auto"/>
        <w:jc w:val="both"/>
      </w:pPr>
    </w:p>
    <w:p w14:paraId="32D9DD85" w14:textId="77777777" w:rsidR="003038A7" w:rsidRDefault="00842729" w:rsidP="003038A7">
      <w:pPr>
        <w:widowControl w:val="0"/>
        <w:autoSpaceDE w:val="0"/>
        <w:autoSpaceDN w:val="0"/>
        <w:adjustRightInd w:val="0"/>
        <w:spacing w:after="0" w:line="240" w:lineRule="auto"/>
        <w:jc w:val="both"/>
      </w:pPr>
      <w:r>
        <w:t xml:space="preserve">Tyto úkony nelze provést jinak než prostřednictvím elektronického nástroje. Ostatní písemná komunikace v zadávacím řízení (např. žádosti o vysvětlení zadávací dokumentace, výzva </w:t>
      </w:r>
      <w:r w:rsidR="00865A5F">
        <w:t>dodavateli k objasnění nabídky,</w:t>
      </w:r>
      <w:r>
        <w:t xml:space="preserve"> námitky dodavatele) může probíhat mimo elektronický nástroj, avšak elektronicky, zejména prostřednictvím datové schránky či emailu.</w:t>
      </w:r>
      <w:r w:rsidR="00FA1033">
        <w:t xml:space="preserve"> Některé d</w:t>
      </w:r>
      <w:r w:rsidR="003038A7">
        <w:t>atové zprávy,</w:t>
      </w:r>
      <w:r w:rsidR="00340976">
        <w:t xml:space="preserve"> pokud by</w:t>
      </w:r>
      <w:r w:rsidR="003038A7">
        <w:t xml:space="preserve"> nebyly odeslány prostřednictvím elektronického nástroje či datové schránky</w:t>
      </w:r>
      <w:r w:rsidR="00FA1033">
        <w:t xml:space="preserve"> však</w:t>
      </w:r>
      <w:r w:rsidR="003038A7">
        <w:t xml:space="preserve"> musí být opatřeny platným uznávaným elektronickým podpisem (výzva určená účastníkům zadávacího řízení, oznámení o výběru dodavatele, rozhodnutí o nejvhodnějším návrhu v soutěži o návrh,</w:t>
      </w:r>
      <w:r w:rsidR="003038A7" w:rsidRPr="003038A7">
        <w:t xml:space="preserve"> </w:t>
      </w:r>
      <w:r w:rsidR="003038A7">
        <w:t>vyloučení účastníka zadávacího řízení)</w:t>
      </w:r>
      <w:r w:rsidR="00FA1033">
        <w:t>, blíže viz § 211 odst. 5</w:t>
      </w:r>
      <w:r w:rsidR="00FA1033" w:rsidRPr="00FA1033">
        <w:t xml:space="preserve"> </w:t>
      </w:r>
      <w:r w:rsidR="00FA1033">
        <w:t>zákona o zadávání veřejných zakázek</w:t>
      </w:r>
      <w:r w:rsidR="003038A7">
        <w:t xml:space="preserve">.   </w:t>
      </w:r>
    </w:p>
    <w:p w14:paraId="6B13FBF3" w14:textId="77777777" w:rsidR="00842729" w:rsidRDefault="003038A7" w:rsidP="003038A7">
      <w:pPr>
        <w:widowControl w:val="0"/>
        <w:autoSpaceDE w:val="0"/>
        <w:autoSpaceDN w:val="0"/>
        <w:adjustRightInd w:val="0"/>
        <w:spacing w:after="0" w:line="240" w:lineRule="auto"/>
        <w:jc w:val="both"/>
      </w:pPr>
      <w:r>
        <w:t xml:space="preserve"> </w:t>
      </w:r>
    </w:p>
    <w:p w14:paraId="78B598CD" w14:textId="77777777" w:rsidR="00842729" w:rsidRPr="00842729" w:rsidRDefault="00842729" w:rsidP="008D65CF">
      <w:pPr>
        <w:jc w:val="both"/>
        <w:rPr>
          <w:u w:val="single"/>
        </w:rPr>
      </w:pPr>
      <w:r w:rsidRPr="00842729">
        <w:rPr>
          <w:u w:val="single"/>
        </w:rPr>
        <w:t xml:space="preserve">Jakým způsobem může dodavatel podat nabídku? </w:t>
      </w:r>
    </w:p>
    <w:p w14:paraId="69B3F6AB" w14:textId="77777777" w:rsidR="008D65CF" w:rsidRDefault="00842729" w:rsidP="008D65CF">
      <w:pPr>
        <w:jc w:val="both"/>
      </w:pPr>
      <w:r>
        <w:t xml:space="preserve">Po 18. říjnu 2018 bude možné v zadávacím řízení podávat nabídku pouze prostřednictvím elektronického nástroje určeného zadavatelem v zadávací dokumentaci. K nabídkám podaným v zadávacím řízení jinak než elektronickým nástrojem </w:t>
      </w:r>
      <w:r w:rsidR="00285764">
        <w:t>(</w:t>
      </w:r>
      <w:r>
        <w:t>tedy například emailem, datovou schránkou či v listinné podobě</w:t>
      </w:r>
      <w:r w:rsidR="00285764">
        <w:t>)</w:t>
      </w:r>
      <w:r>
        <w:t>, se nepřihlíží.</w:t>
      </w:r>
      <w:r w:rsidR="00530ED2">
        <w:t xml:space="preserve"> </w:t>
      </w:r>
    </w:p>
    <w:p w14:paraId="380AE440" w14:textId="77777777" w:rsidR="00842729" w:rsidRDefault="0068482A" w:rsidP="008D65CF">
      <w:pPr>
        <w:jc w:val="both"/>
      </w:pPr>
      <w:r>
        <w:t>Výjimkou budou</w:t>
      </w:r>
      <w:r w:rsidR="00530ED2">
        <w:t xml:space="preserve"> pouze případy uvedené v § 211 odst. 3</w:t>
      </w:r>
      <w:r w:rsidR="00530ED2" w:rsidRPr="00530ED2">
        <w:t xml:space="preserve"> </w:t>
      </w:r>
      <w:r w:rsidR="00530ED2">
        <w:t>zákona o zadávání veřejných zakázek (</w:t>
      </w:r>
      <w:r w:rsidR="008D65CF">
        <w:t xml:space="preserve">zejména </w:t>
      </w:r>
      <w:r w:rsidR="00530ED2">
        <w:t xml:space="preserve">technické důvody či narušení bezpečnosti elektronické komunikace), kdy </w:t>
      </w:r>
      <w:r>
        <w:t>bude</w:t>
      </w:r>
      <w:r w:rsidR="00530ED2">
        <w:t xml:space="preserve"> i po 18. říjnu 2018 možné podávat nabídky v listinné podobě. Je však třeba upozornit, že tyto případy budou výjimečné a možnost podání listinných nabídek </w:t>
      </w:r>
      <w:r w:rsidR="007D4CCD">
        <w:t>musí být vždy uvedena</w:t>
      </w:r>
      <w:r w:rsidR="00530ED2">
        <w:t xml:space="preserve"> v zadávací dokumentaci konkrétní veřejné zakázky. </w:t>
      </w:r>
    </w:p>
    <w:p w14:paraId="14E334D5" w14:textId="77777777" w:rsidR="0068482A" w:rsidRDefault="00842729" w:rsidP="008D65CF">
      <w:pPr>
        <w:jc w:val="both"/>
      </w:pPr>
      <w:r>
        <w:t xml:space="preserve">Pro podání </w:t>
      </w:r>
      <w:r w:rsidR="007D4CCD">
        <w:t xml:space="preserve">elektronické </w:t>
      </w:r>
      <w:r>
        <w:t>nabídky je nutné, aby se dodavatelé v příslušném elektronickém nástroji registrovali, není však nutné, aby si pořizovali zvláštní programové vybavení.</w:t>
      </w:r>
    </w:p>
    <w:p w14:paraId="6B6E9117" w14:textId="77777777" w:rsidR="00FC67AC" w:rsidRDefault="00FC67AC" w:rsidP="008D65CF">
      <w:pPr>
        <w:jc w:val="both"/>
        <w:rPr>
          <w:highlight w:val="yellow"/>
        </w:rPr>
      </w:pPr>
    </w:p>
    <w:p w14:paraId="0BC104A9" w14:textId="643DBB39" w:rsidR="00842729" w:rsidRDefault="0068482A" w:rsidP="008D65CF">
      <w:pPr>
        <w:jc w:val="both"/>
      </w:pPr>
      <w:r w:rsidRPr="00D1326C">
        <w:t>Uveřejněno dne</w:t>
      </w:r>
      <w:r w:rsidR="00D1326C">
        <w:t xml:space="preserve"> 12.9.2018</w:t>
      </w:r>
      <w:r w:rsidR="00842729">
        <w:t xml:space="preserve"> </w:t>
      </w:r>
    </w:p>
    <w:sectPr w:rsidR="008427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F120" w14:textId="77777777" w:rsidR="00F4205B" w:rsidRDefault="00F4205B" w:rsidP="00B9352B">
      <w:pPr>
        <w:spacing w:after="0" w:line="240" w:lineRule="auto"/>
      </w:pPr>
      <w:r>
        <w:separator/>
      </w:r>
    </w:p>
  </w:endnote>
  <w:endnote w:type="continuationSeparator" w:id="0">
    <w:p w14:paraId="6557B3D1" w14:textId="77777777" w:rsidR="00F4205B" w:rsidRDefault="00F4205B" w:rsidP="00B9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B86E3" w14:textId="77777777" w:rsidR="00F4205B" w:rsidRDefault="00F4205B" w:rsidP="00B9352B">
      <w:pPr>
        <w:spacing w:after="0" w:line="240" w:lineRule="auto"/>
      </w:pPr>
      <w:r>
        <w:separator/>
      </w:r>
    </w:p>
  </w:footnote>
  <w:footnote w:type="continuationSeparator" w:id="0">
    <w:p w14:paraId="4DDDD622" w14:textId="77777777" w:rsidR="00F4205B" w:rsidRDefault="00F4205B" w:rsidP="00B93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D3E"/>
    <w:multiLevelType w:val="hybridMultilevel"/>
    <w:tmpl w:val="087255C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C441429"/>
    <w:multiLevelType w:val="hybridMultilevel"/>
    <w:tmpl w:val="33F800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2B0585"/>
    <w:multiLevelType w:val="hybridMultilevel"/>
    <w:tmpl w:val="C414D336"/>
    <w:lvl w:ilvl="0" w:tplc="ECD8DB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2B"/>
    <w:rsid w:val="0001483B"/>
    <w:rsid w:val="000D1644"/>
    <w:rsid w:val="000E2D66"/>
    <w:rsid w:val="001830B0"/>
    <w:rsid w:val="00201512"/>
    <w:rsid w:val="0025121E"/>
    <w:rsid w:val="00266AA8"/>
    <w:rsid w:val="00285764"/>
    <w:rsid w:val="002D2C5E"/>
    <w:rsid w:val="002F638B"/>
    <w:rsid w:val="003038A7"/>
    <w:rsid w:val="00340976"/>
    <w:rsid w:val="003C0AD4"/>
    <w:rsid w:val="00485C98"/>
    <w:rsid w:val="004B19C5"/>
    <w:rsid w:val="00530ED2"/>
    <w:rsid w:val="005768FD"/>
    <w:rsid w:val="00594D08"/>
    <w:rsid w:val="005C1679"/>
    <w:rsid w:val="0068482A"/>
    <w:rsid w:val="006A61B8"/>
    <w:rsid w:val="006D027A"/>
    <w:rsid w:val="00761F55"/>
    <w:rsid w:val="007D4CCD"/>
    <w:rsid w:val="00837D53"/>
    <w:rsid w:val="00842729"/>
    <w:rsid w:val="00865A5F"/>
    <w:rsid w:val="008D65CF"/>
    <w:rsid w:val="009E71DC"/>
    <w:rsid w:val="00A065F0"/>
    <w:rsid w:val="00AB7981"/>
    <w:rsid w:val="00B61644"/>
    <w:rsid w:val="00B9352B"/>
    <w:rsid w:val="00D1326C"/>
    <w:rsid w:val="00D15492"/>
    <w:rsid w:val="00E119C4"/>
    <w:rsid w:val="00E415F2"/>
    <w:rsid w:val="00E67484"/>
    <w:rsid w:val="00F4205B"/>
    <w:rsid w:val="00FA1033"/>
    <w:rsid w:val="00FA3136"/>
    <w:rsid w:val="00FC6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0C3D"/>
  <w15:chartTrackingRefBased/>
  <w15:docId w15:val="{EC7D1AB4-6ACF-40B5-AB5B-EC9CCD2B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52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9352B"/>
    <w:rPr>
      <w:sz w:val="16"/>
      <w:szCs w:val="16"/>
    </w:rPr>
  </w:style>
  <w:style w:type="paragraph" w:styleId="Textkomente">
    <w:name w:val="annotation text"/>
    <w:basedOn w:val="Normln"/>
    <w:link w:val="TextkomenteChar"/>
    <w:uiPriority w:val="99"/>
    <w:semiHidden/>
    <w:unhideWhenUsed/>
    <w:rsid w:val="00B935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352B"/>
    <w:rPr>
      <w:sz w:val="20"/>
      <w:szCs w:val="20"/>
    </w:rPr>
  </w:style>
  <w:style w:type="paragraph" w:styleId="Textpoznpodarou">
    <w:name w:val="footnote text"/>
    <w:basedOn w:val="Normln"/>
    <w:link w:val="TextpoznpodarouChar"/>
    <w:uiPriority w:val="99"/>
    <w:semiHidden/>
    <w:unhideWhenUsed/>
    <w:rsid w:val="00B9352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9352B"/>
    <w:rPr>
      <w:sz w:val="20"/>
      <w:szCs w:val="20"/>
    </w:rPr>
  </w:style>
  <w:style w:type="character" w:styleId="Znakapoznpodarou">
    <w:name w:val="footnote reference"/>
    <w:basedOn w:val="Standardnpsmoodstavce"/>
    <w:uiPriority w:val="99"/>
    <w:semiHidden/>
    <w:unhideWhenUsed/>
    <w:rsid w:val="00B9352B"/>
    <w:rPr>
      <w:vertAlign w:val="superscript"/>
    </w:rPr>
  </w:style>
  <w:style w:type="paragraph" w:styleId="Textbubliny">
    <w:name w:val="Balloon Text"/>
    <w:basedOn w:val="Normln"/>
    <w:link w:val="TextbublinyChar"/>
    <w:uiPriority w:val="99"/>
    <w:semiHidden/>
    <w:unhideWhenUsed/>
    <w:rsid w:val="00B935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352B"/>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9352B"/>
    <w:rPr>
      <w:b/>
      <w:bCs/>
    </w:rPr>
  </w:style>
  <w:style w:type="character" w:customStyle="1" w:styleId="PedmtkomenteChar">
    <w:name w:val="Předmět komentáře Char"/>
    <w:basedOn w:val="TextkomenteChar"/>
    <w:link w:val="Pedmtkomente"/>
    <w:uiPriority w:val="99"/>
    <w:semiHidden/>
    <w:rsid w:val="00B9352B"/>
    <w:rPr>
      <w:b/>
      <w:bCs/>
      <w:sz w:val="20"/>
      <w:szCs w:val="20"/>
    </w:rPr>
  </w:style>
  <w:style w:type="paragraph" w:styleId="Odstavecseseznamem">
    <w:name w:val="List Paragraph"/>
    <w:basedOn w:val="Normln"/>
    <w:uiPriority w:val="34"/>
    <w:qFormat/>
    <w:rsid w:val="00A065F0"/>
    <w:pPr>
      <w:ind w:left="720"/>
      <w:contextualSpacing/>
    </w:pPr>
  </w:style>
  <w:style w:type="character" w:styleId="Hypertextovodkaz">
    <w:name w:val="Hyperlink"/>
    <w:basedOn w:val="Standardnpsmoodstavce"/>
    <w:uiPriority w:val="99"/>
    <w:unhideWhenUsed/>
    <w:rsid w:val="003038A7"/>
    <w:rPr>
      <w:color w:val="0563C1" w:themeColor="hyperlink"/>
      <w:u w:val="single"/>
    </w:rPr>
  </w:style>
  <w:style w:type="character" w:styleId="Sledovanodkaz">
    <w:name w:val="FollowedHyperlink"/>
    <w:basedOn w:val="Standardnpsmoodstavce"/>
    <w:uiPriority w:val="99"/>
    <w:semiHidden/>
    <w:unhideWhenUsed/>
    <w:rsid w:val="00865A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7782">
      <w:bodyDiv w:val="1"/>
      <w:marLeft w:val="0"/>
      <w:marRight w:val="0"/>
      <w:marTop w:val="0"/>
      <w:marBottom w:val="0"/>
      <w:divBdr>
        <w:top w:val="none" w:sz="0" w:space="0" w:color="auto"/>
        <w:left w:val="none" w:sz="0" w:space="0" w:color="auto"/>
        <w:bottom w:val="none" w:sz="0" w:space="0" w:color="auto"/>
        <w:right w:val="none" w:sz="0" w:space="0" w:color="auto"/>
      </w:divBdr>
    </w:div>
    <w:div w:id="12983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vz.cz/getmedia/715439fe-0a1d-4afc-8083-a2f0db34dc9e/Komunikace-mezi-zadavatelem-a-dodavatelem_VZMR.pdf" TargetMode="External"/><Relationship Id="rId3" Type="http://schemas.openxmlformats.org/officeDocument/2006/relationships/settings" Target="settings.xml"/><Relationship Id="rId7" Type="http://schemas.openxmlformats.org/officeDocument/2006/relationships/hyperlink" Target="http://www.portal-vz.cz/getmedia/6cb1336d-17b5-4996-9286-94f46ec71820/Aktualita_povinna-elektronizace-od-18-10_4.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ortal-vz.cz/getmedia/0d646e5f-d960-4743-b5b3-e885dcab7b1c/Metodika-k-vyhlasce-o-uverejnovani-a-profilu-zadavatele_v4-bez-registrace_duben-2017.pdf" TargetMode="External"/><Relationship Id="rId4" Type="http://schemas.openxmlformats.org/officeDocument/2006/relationships/webSettings" Target="webSettings.xml"/><Relationship Id="rId9" Type="http://schemas.openxmlformats.org/officeDocument/2006/relationships/hyperlink" Target="http://www.portal-vz.cz/cs/Jak-na-zadavani-verejnych-zakazek/Elektronicke-zadavani-verejnych-zakazek/Seznam-certifikovanych-el-nastroju-dle-zakona-c-134-2016-S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5723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Adámková Markéta</dc:creator>
  <cp:keywords/>
  <dc:description/>
  <cp:lastModifiedBy>Studnička František</cp:lastModifiedBy>
  <cp:revision>4</cp:revision>
  <cp:lastPrinted>2018-08-30T09:54:00Z</cp:lastPrinted>
  <dcterms:created xsi:type="dcterms:W3CDTF">2018-09-12T08:09:00Z</dcterms:created>
  <dcterms:modified xsi:type="dcterms:W3CDTF">2018-09-12T08:53:00Z</dcterms:modified>
</cp:coreProperties>
</file>