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D5" w:rsidRDefault="002D07CD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Zadání práce</w:t>
      </w:r>
    </w:p>
    <w:p w:rsidR="008619D5" w:rsidRDefault="002D07CD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</w:t>
      </w:r>
    </w:p>
    <w:tbl>
      <w:tblPr>
        <w:tblW w:w="10440" w:type="dxa"/>
        <w:tblInd w:w="83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2880"/>
        <w:gridCol w:w="1530"/>
        <w:gridCol w:w="4230"/>
      </w:tblGrid>
      <w:tr w:rsidR="008619D5">
        <w:trPr>
          <w:trHeight w:val="253"/>
        </w:trPr>
        <w:tc>
          <w:tcPr>
            <w:tcW w:w="10440" w:type="dxa"/>
            <w:gridSpan w:val="4"/>
            <w:shd w:val="clear" w:color="auto" w:fill="FB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8619D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9D5">
        <w:tc>
          <w:tcPr>
            <w:tcW w:w="1800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Předmět zadání:</w:t>
            </w:r>
          </w:p>
        </w:tc>
        <w:tc>
          <w:tcPr>
            <w:tcW w:w="8640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 w:rsidP="002D07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Agenda Elektronické faktury ISDOC – nové formáty eln. Faktury: CII, UBL</w:t>
            </w:r>
          </w:p>
        </w:tc>
      </w:tr>
      <w:tr w:rsidR="008619D5">
        <w:trPr>
          <w:trHeight w:val="197"/>
        </w:trPr>
        <w:tc>
          <w:tcPr>
            <w:tcW w:w="1800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Vypracoval:</w:t>
            </w:r>
          </w:p>
        </w:tc>
        <w:tc>
          <w:tcPr>
            <w:tcW w:w="2880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vitm</w:t>
            </w:r>
          </w:p>
        </w:tc>
        <w:tc>
          <w:tcPr>
            <w:tcW w:w="1530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Datum:</w:t>
            </w:r>
          </w:p>
        </w:tc>
        <w:tc>
          <w:tcPr>
            <w:tcW w:w="4230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8619D5" w:rsidRDefault="008619D5">
      <w:pPr>
        <w:rPr>
          <w:rFonts w:ascii="Calibri" w:eastAsia="Calibri" w:hAnsi="Calibri" w:cs="Calibri"/>
          <w:b/>
          <w:color w:val="004080"/>
          <w:sz w:val="28"/>
          <w:szCs w:val="28"/>
        </w:rPr>
      </w:pPr>
    </w:p>
    <w:p w:rsidR="008619D5" w:rsidRDefault="002D07CD">
      <w:pPr>
        <w:rPr>
          <w:rFonts w:ascii="Calibri" w:eastAsia="Calibri" w:hAnsi="Calibri" w:cs="Calibri"/>
          <w:b/>
          <w:color w:val="004080"/>
          <w:sz w:val="28"/>
          <w:szCs w:val="28"/>
        </w:rPr>
      </w:pPr>
      <w:r>
        <w:rPr>
          <w:rFonts w:ascii="Calibri" w:eastAsia="Calibri" w:hAnsi="Calibri" w:cs="Calibri"/>
          <w:b/>
          <w:color w:val="004080"/>
          <w:sz w:val="28"/>
          <w:szCs w:val="28"/>
        </w:rPr>
        <w:t>Stručný popis zadání:</w:t>
      </w:r>
    </w:p>
    <w:p w:rsidR="002D07CD" w:rsidRPr="003C5BAD" w:rsidRDefault="002D07CD" w:rsidP="002D07CD">
      <w:pPr>
        <w:pStyle w:val="Odstavecseseznamem"/>
        <w:numPr>
          <w:ilvl w:val="0"/>
          <w:numId w:val="10"/>
        </w:numPr>
        <w:rPr>
          <w:rFonts w:ascii="Calibri" w:eastAsia="Calibri" w:hAnsi="Calibri" w:cs="Calibri"/>
          <w:color w:val="008000"/>
          <w:sz w:val="20"/>
          <w:szCs w:val="20"/>
        </w:rPr>
      </w:pPr>
      <w:r w:rsidRPr="003C5BAD">
        <w:rPr>
          <w:rFonts w:ascii="Calibri" w:eastAsia="Calibri" w:hAnsi="Calibri" w:cs="Calibri"/>
          <w:color w:val="008000"/>
          <w:sz w:val="20"/>
          <w:szCs w:val="20"/>
        </w:rPr>
        <w:t>Změny v db:</w:t>
      </w:r>
      <w:r w:rsidRPr="003C5BAD">
        <w:rPr>
          <w:color w:val="008000"/>
        </w:rPr>
        <w:t xml:space="preserve"> </w:t>
      </w:r>
      <w:r w:rsidRPr="003C5BAD">
        <w:rPr>
          <w:rFonts w:ascii="Calibri" w:eastAsia="Calibri" w:hAnsi="Calibri" w:cs="Calibri"/>
          <w:b/>
          <w:color w:val="008000"/>
          <w:sz w:val="20"/>
          <w:szCs w:val="20"/>
        </w:rPr>
        <w:t>cFAIsdoc:</w:t>
      </w:r>
    </w:p>
    <w:p w:rsidR="002D07CD" w:rsidRPr="003C5BAD" w:rsidRDefault="002D07CD" w:rsidP="002D07CD">
      <w:pPr>
        <w:pStyle w:val="Odstavecseseznamem"/>
        <w:numPr>
          <w:ilvl w:val="0"/>
          <w:numId w:val="8"/>
        </w:numPr>
        <w:rPr>
          <w:rFonts w:ascii="Calibri" w:eastAsia="Calibri" w:hAnsi="Calibri" w:cs="Calibri"/>
          <w:color w:val="008000"/>
          <w:sz w:val="20"/>
          <w:szCs w:val="20"/>
        </w:rPr>
      </w:pPr>
      <w:r w:rsidRPr="003C5BAD">
        <w:rPr>
          <w:rFonts w:ascii="Calibri" w:eastAsia="Calibri" w:hAnsi="Calibri" w:cs="Calibri"/>
          <w:color w:val="008000"/>
          <w:sz w:val="20"/>
          <w:szCs w:val="20"/>
        </w:rPr>
        <w:t xml:space="preserve">nový sloupec  </w:t>
      </w:r>
      <w:r w:rsidRPr="003C5BAD">
        <w:rPr>
          <w:rFonts w:ascii="Calibri" w:eastAsia="Calibri" w:hAnsi="Calibri" w:cs="Calibri"/>
          <w:b/>
          <w:color w:val="008000"/>
          <w:sz w:val="20"/>
          <w:szCs w:val="20"/>
        </w:rPr>
        <w:t>formatFaktuy</w:t>
      </w:r>
      <w:r w:rsidRPr="003C5BAD">
        <w:rPr>
          <w:rFonts w:ascii="Calibri" w:eastAsia="Calibri" w:hAnsi="Calibri" w:cs="Calibri"/>
          <w:color w:val="008000"/>
          <w:sz w:val="20"/>
          <w:szCs w:val="20"/>
        </w:rPr>
        <w:t xml:space="preserve"> + převodní tabulka</w:t>
      </w:r>
    </w:p>
    <w:p w:rsidR="002D07CD" w:rsidRPr="003C5BAD" w:rsidRDefault="002D07CD" w:rsidP="002D07CD">
      <w:pPr>
        <w:pStyle w:val="Odstavecseseznamem"/>
        <w:numPr>
          <w:ilvl w:val="0"/>
          <w:numId w:val="8"/>
        </w:numPr>
        <w:rPr>
          <w:rFonts w:ascii="Calibri" w:eastAsia="Calibri" w:hAnsi="Calibri" w:cs="Calibri"/>
          <w:color w:val="008000"/>
          <w:sz w:val="20"/>
          <w:szCs w:val="20"/>
        </w:rPr>
      </w:pPr>
      <w:r w:rsidRPr="003C5BAD">
        <w:rPr>
          <w:rFonts w:ascii="Calibri" w:eastAsia="Calibri" w:hAnsi="Calibri" w:cs="Calibri"/>
          <w:color w:val="008000"/>
          <w:sz w:val="20"/>
          <w:szCs w:val="20"/>
        </w:rPr>
        <w:t xml:space="preserve">změna povinnosti na nepovinný: </w:t>
      </w:r>
      <w:r w:rsidRPr="003C5BAD">
        <w:rPr>
          <w:rFonts w:ascii="Calibri" w:eastAsia="Calibri" w:hAnsi="Calibri" w:cs="Calibri"/>
          <w:b/>
          <w:color w:val="008000"/>
          <w:sz w:val="20"/>
          <w:szCs w:val="20"/>
        </w:rPr>
        <w:t>verze</w:t>
      </w:r>
      <w:r w:rsidRPr="003C5BAD">
        <w:rPr>
          <w:rFonts w:ascii="Calibri" w:eastAsia="Calibri" w:hAnsi="Calibri" w:cs="Calibri"/>
          <w:color w:val="008000"/>
          <w:sz w:val="20"/>
          <w:szCs w:val="20"/>
        </w:rPr>
        <w:t xml:space="preserve">, </w:t>
      </w:r>
      <w:r w:rsidRPr="003C5BAD">
        <w:rPr>
          <w:rFonts w:ascii="Calibri" w:eastAsia="Calibri" w:hAnsi="Calibri" w:cs="Calibri"/>
          <w:b/>
          <w:color w:val="008000"/>
          <w:sz w:val="20"/>
          <w:szCs w:val="20"/>
        </w:rPr>
        <w:t>castka</w:t>
      </w:r>
      <w:r w:rsidRPr="003C5BAD">
        <w:rPr>
          <w:rFonts w:ascii="Calibri" w:eastAsia="Calibri" w:hAnsi="Calibri" w:cs="Calibri"/>
          <w:color w:val="008000"/>
          <w:sz w:val="20"/>
          <w:szCs w:val="20"/>
        </w:rPr>
        <w:t>,</w:t>
      </w:r>
      <w:r w:rsidRPr="003C5BAD">
        <w:rPr>
          <w:rFonts w:ascii="Calibri" w:eastAsia="Calibri" w:hAnsi="Calibri" w:cs="Calibri"/>
          <w:b/>
          <w:color w:val="008000"/>
          <w:sz w:val="20"/>
          <w:szCs w:val="20"/>
        </w:rPr>
        <w:t xml:space="preserve"> kurz</w:t>
      </w:r>
      <w:r w:rsidRPr="003C5BAD">
        <w:rPr>
          <w:rFonts w:ascii="Calibri" w:eastAsia="Calibri" w:hAnsi="Calibri" w:cs="Calibri"/>
          <w:color w:val="008000"/>
          <w:sz w:val="20"/>
          <w:szCs w:val="20"/>
        </w:rPr>
        <w:t xml:space="preserve">, </w:t>
      </w:r>
      <w:r w:rsidRPr="003C5BAD">
        <w:rPr>
          <w:rFonts w:ascii="Calibri" w:eastAsia="Calibri" w:hAnsi="Calibri" w:cs="Calibri"/>
          <w:b/>
          <w:color w:val="008000"/>
          <w:sz w:val="20"/>
          <w:szCs w:val="20"/>
        </w:rPr>
        <w:t>castkaKUhrade</w:t>
      </w:r>
    </w:p>
    <w:p w:rsidR="002D07CD" w:rsidRPr="003C5BAD" w:rsidRDefault="002D07CD" w:rsidP="002D07CD">
      <w:pPr>
        <w:pStyle w:val="Odstavecseseznamem"/>
        <w:numPr>
          <w:ilvl w:val="0"/>
          <w:numId w:val="10"/>
        </w:numPr>
        <w:rPr>
          <w:rFonts w:ascii="Calibri" w:eastAsia="Calibri" w:hAnsi="Calibri" w:cs="Calibri"/>
          <w:color w:val="008000"/>
          <w:sz w:val="20"/>
          <w:szCs w:val="20"/>
        </w:rPr>
      </w:pPr>
      <w:r w:rsidRPr="003C5BAD">
        <w:rPr>
          <w:rFonts w:ascii="Calibri" w:eastAsia="Calibri" w:hAnsi="Calibri" w:cs="Calibri"/>
          <w:color w:val="008000"/>
          <w:sz w:val="20"/>
          <w:szCs w:val="20"/>
        </w:rPr>
        <w:t>Změny v aplikaci – zapracovat import nových formátů eln. Faktur</w:t>
      </w:r>
    </w:p>
    <w:p w:rsidR="002D07CD" w:rsidRPr="003C5BAD" w:rsidRDefault="002D07CD" w:rsidP="002D07CD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color w:val="008000"/>
          <w:sz w:val="20"/>
        </w:rPr>
      </w:pPr>
      <w:r w:rsidRPr="003C5BAD">
        <w:rPr>
          <w:rFonts w:ascii="Calibri" w:hAnsi="Calibri"/>
          <w:color w:val="008000"/>
          <w:sz w:val="20"/>
        </w:rPr>
        <w:t>UC Provést základní kontrolu doručeného souboru - přidána kontrola na ič organizace, do které se importuje, dle importovaného formátu el. faktury</w:t>
      </w:r>
    </w:p>
    <w:p w:rsidR="002D07CD" w:rsidRPr="003C5BAD" w:rsidRDefault="002D07CD" w:rsidP="002D07CD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color w:val="008000"/>
          <w:sz w:val="20"/>
        </w:rPr>
      </w:pPr>
      <w:r w:rsidRPr="003C5BAD">
        <w:rPr>
          <w:rFonts w:ascii="Calibri" w:hAnsi="Calibri"/>
          <w:color w:val="008000"/>
          <w:sz w:val="20"/>
        </w:rPr>
        <w:t>UC Přenést do cFaISDOC údaje z XML - nové scénáře: CEFACT D16B - Přenést do cFaISDOC údaje z XML,UBL - Přenést do cFaISDOC údaje z XML</w:t>
      </w:r>
    </w:p>
    <w:p w:rsidR="002D07CD" w:rsidRPr="003C5BAD" w:rsidRDefault="002D07CD" w:rsidP="002D07CD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color w:val="008000"/>
          <w:sz w:val="20"/>
        </w:rPr>
      </w:pPr>
      <w:r w:rsidRPr="003C5BAD">
        <w:rPr>
          <w:rFonts w:ascii="Calibri" w:hAnsi="Calibri"/>
          <w:color w:val="008000"/>
          <w:sz w:val="20"/>
        </w:rPr>
        <w:t>UC Předvyplnit hlavičku a položky podle XML - nové scénáře: CEFACT - Předvyplnit hlavičku a položky podle XML, UBL - Předvyplnit hlavičku a položky podle XML</w:t>
      </w:r>
    </w:p>
    <w:p w:rsidR="002D07CD" w:rsidRPr="003C5BAD" w:rsidRDefault="002D07CD" w:rsidP="002D07CD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color w:val="008000"/>
          <w:sz w:val="20"/>
        </w:rPr>
      </w:pPr>
      <w:r w:rsidRPr="003C5BAD">
        <w:rPr>
          <w:rFonts w:ascii="Calibri" w:hAnsi="Calibri"/>
          <w:color w:val="008000"/>
          <w:sz w:val="20"/>
        </w:rPr>
        <w:t>UC Provést dohledání a dotahy pro přijatý doklad generovaný z elektronické faktury - dopracovány změny pro CII, UBL</w:t>
      </w:r>
    </w:p>
    <w:p w:rsidR="002D07CD" w:rsidRPr="003C5BAD" w:rsidRDefault="002D07CD" w:rsidP="002D07CD">
      <w:pPr>
        <w:pStyle w:val="Odstavecseseznamem"/>
        <w:numPr>
          <w:ilvl w:val="0"/>
          <w:numId w:val="8"/>
        </w:numPr>
        <w:rPr>
          <w:rFonts w:ascii="Calibri" w:eastAsia="Calibri" w:hAnsi="Calibri" w:cs="Calibri"/>
          <w:color w:val="008000"/>
          <w:sz w:val="20"/>
          <w:szCs w:val="20"/>
        </w:rPr>
      </w:pPr>
      <w:r w:rsidRPr="003C5BAD">
        <w:rPr>
          <w:rFonts w:ascii="Calibri" w:eastAsia="Arial" w:hAnsi="Calibri" w:cs="Arial"/>
          <w:color w:val="008000"/>
          <w:sz w:val="20"/>
        </w:rPr>
        <w:t>UC Přenést soubory od cFaISDOC k přijatému dokladu - taktéž připojovat soubory CII,UBL</w:t>
      </w:r>
    </w:p>
    <w:p w:rsidR="002D07CD" w:rsidRPr="003C5BAD" w:rsidRDefault="002D07CD" w:rsidP="002D07CD">
      <w:pPr>
        <w:rPr>
          <w:rFonts w:ascii="Calibri" w:eastAsia="Calibri" w:hAnsi="Calibri" w:cs="Calibri"/>
          <w:color w:val="008000"/>
          <w:sz w:val="20"/>
          <w:szCs w:val="20"/>
        </w:rPr>
      </w:pPr>
      <w:r w:rsidRPr="003C5BAD">
        <w:rPr>
          <w:rFonts w:ascii="Calibri" w:eastAsia="Calibri" w:hAnsi="Calibri" w:cs="Calibri"/>
          <w:color w:val="008000"/>
          <w:sz w:val="20"/>
          <w:szCs w:val="20"/>
        </w:rPr>
        <w:br/>
        <w:t>Pozn. dostupné podklady k novým formátům, které se požaduje importovat, dodány k zadání.</w:t>
      </w:r>
      <w:r w:rsidRPr="003C5BAD">
        <w:rPr>
          <w:rFonts w:ascii="Calibri" w:eastAsia="Calibri" w:hAnsi="Calibri" w:cs="Calibri"/>
          <w:color w:val="008000"/>
          <w:sz w:val="20"/>
          <w:szCs w:val="20"/>
        </w:rPr>
        <w:br/>
        <w:t>Pro meziodvětvovou fakturu CII(Cross industry invoice) -  dostupné xsd. Příklady XML jen v normě (ČSN P CEN_TS 16931-3-3 4ET.DOCX)</w:t>
      </w:r>
    </w:p>
    <w:p w:rsidR="003014ED" w:rsidRPr="003C5BAD" w:rsidRDefault="00262556" w:rsidP="003C5BAD">
      <w:pPr>
        <w:rPr>
          <w:rFonts w:ascii="Calibri" w:eastAsia="Calibri" w:hAnsi="Calibri" w:cs="Calibri"/>
          <w:color w:val="008000"/>
          <w:sz w:val="20"/>
          <w:szCs w:val="20"/>
        </w:rPr>
      </w:pPr>
      <w:r w:rsidRPr="003C5BAD">
        <w:rPr>
          <w:rFonts w:ascii="Calibri" w:eastAsia="Calibri" w:hAnsi="Calibri" w:cs="Calibri"/>
          <w:color w:val="008000"/>
          <w:sz w:val="20"/>
          <w:szCs w:val="20"/>
        </w:rPr>
        <w:t>Pro UBL fakturu a dobropis – podklady v normě (ČSN P CEN_TS 16931-3-2_4ET.DOCX)</w:t>
      </w: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014ED" w:rsidRDefault="003014ED">
      <w:pPr>
        <w:pStyle w:val="Nadpis2"/>
        <w:spacing w:before="240" w:after="60"/>
        <w:ind w:left="23"/>
        <w:rPr>
          <w:rFonts w:ascii="Calibri" w:eastAsia="Calibri" w:hAnsi="Calibri" w:cs="Calibri"/>
        </w:rPr>
      </w:pPr>
    </w:p>
    <w:p w:rsidR="003C5BAD" w:rsidRDefault="003C5BAD" w:rsidP="003C5BAD"/>
    <w:p w:rsidR="003C5BAD" w:rsidRPr="003C5BAD" w:rsidRDefault="003C5BAD" w:rsidP="003C5BAD"/>
    <w:p w:rsidR="008619D5" w:rsidRDefault="002D07CD">
      <w:pPr>
        <w:pStyle w:val="Nadpis2"/>
        <w:spacing w:before="240" w:after="60"/>
        <w:ind w:left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Agenda Elektronické faktury ISDOC - UC 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Style w:val="FieldLabel"/>
          <w:rFonts w:ascii="Calibri" w:eastAsia="Calibri" w:hAnsi="Calibri" w:cs="Calibri"/>
        </w:rPr>
        <w:t>Package: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Agenda Elektronické faktury ISDOC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BKM_321C6C5E_C8B7_4E1B_8984_F694B210CB84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Agenda Elektronické faktury ISDOC - UC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6613525" cy="715073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715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End w:id="0"/>
    </w:p>
    <w:p w:rsidR="008619D5" w:rsidRDefault="008619D5">
      <w:pPr>
        <w:ind w:left="23"/>
        <w:jc w:val="center"/>
        <w:rPr>
          <w:rStyle w:val="SSBookmark"/>
        </w:rPr>
      </w:pPr>
    </w:p>
    <w:p w:rsidR="003014ED" w:rsidRDefault="003014ED">
      <w:pPr>
        <w:pStyle w:val="Nadpis3"/>
        <w:spacing w:before="240" w:after="60"/>
        <w:ind w:left="23"/>
        <w:rPr>
          <w:rFonts w:ascii="Calibri" w:eastAsia="Calibri" w:hAnsi="Calibri" w:cs="Calibri"/>
        </w:rPr>
      </w:pPr>
      <w:bookmarkStart w:id="1" w:name="BKM_AD32B44B_7943_4516_AEDC_46F456F5CA6C"/>
    </w:p>
    <w:bookmarkEnd w:id="1"/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lastRenderedPageBreak/>
        <w:t>Importovat ze souboru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Změna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UC představuje první krok při zpracování došlých ISDOC faktur - načtení ze souboru a založení řádku do cFaISDOC.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24.07.2018 VM (legislativa)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změny se zapracováním importu nových formátů el faktury (CII, UBL)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1.4.2016 změna SK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Formální technická změna - definice logiky základních kontrol isdoc souboru je přesunutá do nového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Provést základní kontrolu doručeného ISDOC souboru</w:t>
      </w:r>
      <w:r>
        <w:rPr>
          <w:rFonts w:ascii="Calibri" w:eastAsia="Calibri" w:hAnsi="Calibri" w:cs="Calibri"/>
          <w:color w:val="000000"/>
          <w:sz w:val="20"/>
          <w:szCs w:val="20"/>
        </w:rPr>
        <w:t>. Tohle nemá být zadání změny funkčnosti, je to jen reorganizace v rámci EA.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31.3.2016 změna SK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Formální technická změna - definice logiky plnění cFaISDOC z XML je přesunutá do nového samostatného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Přenést do cFaISDOC údaje z XML</w:t>
      </w:r>
      <w:r>
        <w:rPr>
          <w:rFonts w:ascii="Calibri" w:eastAsia="Calibri" w:hAnsi="Calibri" w:cs="Calibri"/>
          <w:color w:val="000000"/>
          <w:sz w:val="20"/>
          <w:szCs w:val="20"/>
        </w:rPr>
        <w:t>. Tohle nemá být zadání změny funkčnosti, je to jen reorganizace v rámci EA.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Importovat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 xml:space="preserve"> Basic Path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Uživatel spustí funkci Importovat ze souboru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Systém zobrazí formulář pro přidání nového záznamu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Uživatel vybere soubor a potvrdí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Zjištění importovaného formátu: systém rozpozná formát elektronické faktury: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a)ISDOC - pokud má soubor příponu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„.isdocx“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systém soubor rozbalí, aby se dostal na skutečný "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isdoc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" soubor pro provedení základních kontrol.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b)CII - systém rozpozná formát elektronické faktury: CrossIndustryInvoice.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c)UBL - systém rozpozná formát elektronické faktury : Inovice UBL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Systém provede standardní kontroly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Systém provede základní kontrolu doručeného isdoc, 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CII, UBL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souboru na neduplicitnost a příslušnost - viz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Provést základní kontrolu doručeného souboru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Uložení souboru do DB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importovaný soubor systém uloží do DB (cFMSSouborVDB).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a)ISDOC - pokud má soubor příponu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„.isdocx“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systém soubor rozbalí a všechny soubory také uloží do DB. Všechny přílohy včetně samotného .isdoc jsou zobrazeny na záložce.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b)CII,UBL - systém uloží soubor do db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Systém vyplní většinu hodnot faktury (hodnoty pro řádek cFaISDOC) z XML isdoc souboru podle definice v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Přenést do cFaISDOC údaje z XML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Systém nastaví položku cFaISDOC.datumImportu na aktuální datum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Systém nastaví položku cFaISDOC.stav na Importovaná</w:t>
            </w:r>
          </w:p>
          <w:p w:rsidR="00456F55" w:rsidRPr="00456F55" w:rsidRDefault="00456F55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bookmarkStart w:id="2" w:name="_GoBack"/>
            <w:r w:rsidRPr="00456F55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Formát eln. faktury – systém do sloupce </w:t>
            </w:r>
            <w:r w:rsidRPr="00456F55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</w:t>
            </w:r>
            <w:r w:rsidRPr="00456F55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formatFaktury uloží hodnotu:</w:t>
            </w:r>
            <w:r w:rsidRPr="00456F55">
              <w:rPr>
                <w:rFonts w:ascii="Calibri" w:eastAsia="Calibri" w:hAnsi="Calibri" w:cs="Calibri"/>
                <w:color w:val="008000"/>
                <w:sz w:val="20"/>
                <w:szCs w:val="20"/>
              </w:rPr>
              <w:br/>
              <w:t>a)</w:t>
            </w:r>
            <w:r w:rsidR="00623257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=ISDOC – pokud se importuje ISDOC</w:t>
            </w:r>
            <w:r w:rsidR="00623257">
              <w:rPr>
                <w:rFonts w:ascii="Calibri" w:eastAsia="Calibri" w:hAnsi="Calibri" w:cs="Calibri"/>
                <w:color w:val="008000"/>
                <w:sz w:val="20"/>
                <w:szCs w:val="20"/>
              </w:rPr>
              <w:br/>
              <w:t xml:space="preserve">b)=CII </w:t>
            </w:r>
            <w:r w:rsidR="00623257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– </w:t>
            </w:r>
            <w:r w:rsidR="00623257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pokud se importuje CII (Cross Industry Invoice) </w:t>
            </w:r>
            <w:r w:rsidR="00623257">
              <w:rPr>
                <w:rFonts w:ascii="Calibri" w:eastAsia="Calibri" w:hAnsi="Calibri" w:cs="Calibri"/>
                <w:color w:val="008000"/>
                <w:sz w:val="20"/>
                <w:szCs w:val="20"/>
              </w:rPr>
              <w:br/>
              <w:t xml:space="preserve">c)=UBL </w:t>
            </w:r>
            <w:r w:rsidR="00623257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– pokud se importuje </w:t>
            </w:r>
            <w:r w:rsidR="00623257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faktura, či dobropis UBL </w:t>
            </w:r>
          </w:p>
          <w:bookmarkEnd w:id="2"/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Systém do položky cFaISDOC.isdoc nastaví název souboru hlavní ISDOC, 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CII, UBL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faktury (tím je opravdu myšlený isdoc, i pokud byl načítaný isdocx).Pozn. položka byla zjevně podle formátu původně myšlená na uložení obsahu isdoc souboru ve formě XML, ale aktuálně se do ní ukládá název „hlavního“ isdoc souboru.</w:t>
            </w: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Pokud vše proběhlo v pořádku, systém vše uloží a zavře formulář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t>Provést základní kontrolu doručeného souboru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Změna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23.07.2018 VM (legislativa)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přidána kontrola na ič organizace, do které se importuje, dle importovaného formátu el. faktury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Toto je UC, do kterého je z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Importovat soubor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(kde to bylo původně) vytažená logika dvou základních kontrol - neduplicitnosti a příslušnosti doručeného isdoc souboru přijímající organizaci.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Logika je zkopírovaná jak byla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Importovat soubor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(předpokládá se, že platí).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UC má představovat existující logiku z agendy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Elektronické faktury ISDOC</w:t>
      </w:r>
      <w:r>
        <w:rPr>
          <w:rFonts w:ascii="Calibri" w:eastAsia="Calibri" w:hAnsi="Calibri" w:cs="Calibri"/>
          <w:color w:val="000000"/>
          <w:sz w:val="20"/>
          <w:szCs w:val="20"/>
        </w:rPr>
        <w:t>, která je takhle vytažená do samostatného UC, aby se na ni dalo odkazovat i z jiných míst (např. ze zpracování souborů od došlých zpráv).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Provést základní kontrolu doručeného souboru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Basic Path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numPr>
                <w:ilvl w:val="0"/>
                <w:numId w:val="6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Kontrola na duplicitu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systém ověří, zda soubor nebyl již vložen dle cFaISDOC.uidFaktury. Pokud ano, upozorní uživatele hláškou "Tato faktura byla již importována."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numPr>
                <w:ilvl w:val="0"/>
                <w:numId w:val="7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Kontrola na ič organizace do které se importuje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a)ISDOC - systém ověří, že isdoc se opravdu týká té organizace, tj. že IČ odběratele (z ISDOC) se shoduje s IČ z organizační struktury AVIS (předpokládám, že tahle kontrola v kódu je, i když se o ní na rozdíl od kontroly na uidFaktury v příručce modulu FA nepíše ?).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b)CEFACT - systém provede kontrolu, zda je soubor určen pro organizaci, na které uživatel spustil import, kontrola dle ič (/rsm:CrossIndustryInvoice/rsm:SupplyChainTradeTransaction/ram:ApplicableHeaderTradeAgreement/ram:BuyerTradeParty/ram:GlobalID, nebo /rsm:CrossIndustryInvoice/rsm:SupplyChainTradeTransaction/ram:ApplicableHeaderTradeAgreement/ram:BuyerTradeParty/ram:ID ), pokud není tak kontrola dle názvu /rsm:CrossIndustryInvoice/rsm:SupplyChainTradeTransaction/ram:ApplicableHeaderTradeAgreement/ram:BuyerTradeParty/ram:Name, nebo /rsm:CrossIndustryInvoice/rsm:SupplyChainTradeTransaction/ram:ApplicableHeaderTradeAgreement/ram:BuyerTradeParty/ram:SpecifiedLegalOrganization/ram:TradingBusinessName. Pokud nebude ič souhlasit, resp. pokud není vyplněno ič, tak název org., tak systém zobrazí hlášení měkké kontroly. Po volbě uživatele pokračuje následujícím bodem scénáře, nebo funkčnost ukončí.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c)UBL - systém provede kontrolu, zda je soubor určen pro organizaci, na které uživatel spustil import, kontrola dle ič (/Invoice/cac:AccountingCustomerParty/cac:Party/cac:PartyIdentification/cbc:ID), pokud není tak kontrola dle názvu /Invoice/cac:AccountingCustomerParty/cac:Party/cac:PartyLegalEntity/cbc:RegistrationName. Pokud nebude ič souhlasit, resp. pokud není vyplněno ič, tak název org., tak systém zobrazí hlášení měkké kontroly. Po volbě uživatele pokračuje následujícím bodem scénáře, nebo funkčnost ukončí.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t>Přenést do cFaISDOC údaje z XML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Změna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23.07.2018 VM (legislativa)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přidány scénáře pro import nových formátů el. faktury meziodvětvová faktura: CEFACT, UBL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Systémový UC, do kterého je z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Importovat ze souboru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(kde to bylo původně) vytažená logika plnění údajů v cFaISDOC, které se přenášejí z XML.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Logika je zkopírovaná jak byla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Importovat ze souboru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(předpokládá se, že v zásadě platí).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Proti původnímu znění z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Importovat ze souboru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je tady navíc doplněné plnění údaje cFaISDOC.elektronickyPodpis, které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Importovat ze souboru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chybělo. Logika ověřování podpisu je popsaná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Ověřit podpis ISDOC souboru</w:t>
      </w:r>
      <w:r>
        <w:rPr>
          <w:rFonts w:ascii="Calibri" w:eastAsia="Calibri" w:hAnsi="Calibri" w:cs="Calibri"/>
          <w:color w:val="000000"/>
          <w:sz w:val="20"/>
          <w:szCs w:val="20"/>
        </w:rPr>
        <w:t>. Toto nemá být změna, ale doplnění popisu aktuálního stavu.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UC má představovat existující logiku z agendy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Elektronické faktury ISDOC</w:t>
      </w:r>
      <w:r>
        <w:rPr>
          <w:rFonts w:ascii="Calibri" w:eastAsia="Calibri" w:hAnsi="Calibri" w:cs="Calibri"/>
          <w:color w:val="000000"/>
          <w:sz w:val="20"/>
          <w:szCs w:val="20"/>
        </w:rPr>
        <w:t>, která je takhle vytažená do samostatného UC, aby se na ni dalo odkazovat i z jiných míst (např. ze zpracování souborů od došlých zpráv).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lastRenderedPageBreak/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ISDOC - Přenést do cFaISDOC údaje z XML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Basic Path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Systém nastaví hodnoty do cFaISDOC z XML souboru dle těchto pravidel: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cFaISDOC.verze &lt;- Invoice[@version]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cFaISDOC.cisloFaktury &lt;- Invoice/ID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cFaISDOC.uidFaktury &lt;- Invoice/UUID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cFaISDOC.druhDokladu &lt;- Invoice/DocumentType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cFaISDOC.castka &lt;- Invoice/LegalMonetaryTotal/PayableAmount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cFaISDOC.castkaCM &lt;- Invoice/LegalMonetaryTotal/PayableAmountCurr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cFaISDOC.castkaKUhrade &lt;-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cFaISDOC.castkaKUhradeCM &lt;-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cFaISDOC.dph &lt;- Invoice/TaxTotal/TaxSubTotal[1]/TaxCategory/Percent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cFaISDOC.mena &lt;- Invoice/ForeignCurrencyCode (nebo) Invoice/LocalCurrencyCode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cFaISDOC.kurz &lt;- Invoice/CurrRate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cFaISDOC.datumSplatnosti &lt;- Invoice/PaymentMeans/Payment[1]/Details/PaymentDueData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cFaISDOC.datumVystaveni &lt;- Invoice/IssueDate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cFaISDOC.datumPlneni &lt;- Invoice/TaxPointDate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cFaISDOC.poznamka &lt;- Invoice/Note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cFaISDOC.variabSymbol &lt;- Invoice/PaymentMeans/Payment[1]/Details/VariableSymbol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cFaISDOC.specSymbol &lt;- Invoice/PaymentMeans/Payment[1]/Details/SpecificSymbol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cFaISDOC.konstSymbol &lt;- Invoice/PaymentMeans/Payment[1]/Details/ConstantSymbol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cFaISDOC.zpusobUhrady &lt;- Invoice/PaymentMeans/Payment[1]/PaymentMeansCode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cFaISDOC.elektronickyPodpis &lt;- výsledek ověření elektronického podpisu vyvolaného nad celým XML isdoc souboru - viz UC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Ověřit podpis ISDOC souboru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Pozn.: Logika je zkopírovaná z UC Importovat ze souboru, jak byla tam - to nedefinované plnění částek k úhradě tam takhle bylo.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Proti původnímu znění z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Importovat ze souboru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je tady navíc poslední bod - plnění údaje cFaISDOC.elektronickyPodpis, které v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Importovat ze souboru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chybělo. Logika ověřování podpisu je popsaná v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Ověřit podpis ISDOC souboru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Toto nemá být změna, ale doplnění popisu aktuálního stavu.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CII (CEFACT D16B) - Přenést do cFaISDOC údaje z XML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Alternate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1. Systém nastaví hodnoty do cFaISDOC z XML souboru dle těchto pravidel: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cFaISDOC.verze &lt;- nevyplňovat (pozn. v db nastavit jako nepovinné)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cFaISDOC.cisloFaktury &lt;- /rsm:CrossIndustryInvoice/rsm:ExchangedDocument/ram:ID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cFaISDOC.uidFaktury &lt;- /rsm:CrossIndustryInvoice/rsm:ExchangedDocument/ram:ID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cFaISDOC.druhDokladu &lt;- /rsm:CrossIndustryInvoice/rsm:ExchangedDocument/ram:TypeCode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 &lt;- a) pokud bude měna = CZK, tak /rsm:CrossIndustryInvoice/rsm:SupplyChainTradeTransaction/ram:ApplicableHeaderTradeSettlement/ram:SpecifiedTradeSettlementHeaderMonetarySummation/ram:GrandTotalAmount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b) pokud budě měna &lt;&gt; CZK, tak prázdné (v db nastavit sloupec castka jako nepovinný) pozn. v xml není kurz, tj. u cizoměnných faktur částku CZK doplnit až při otevření faktury, dle daného kurzu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cFaISDOC.castkaCM &lt;- /rsm:CrossIndustryInvoice/rsm:SupplyChainTradeTransaction/ram:ApplicableHeaderTradeSettlement/ram:SpecifiedTradeSettlementHeaderMonetarySummation/ram:GrandTotalAmount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cFaISDOC.castkaKUhrade &lt;-a) pokud bude měna = CZK, tak /rsm:CrossIndustryInvoice/rsm:SupplyChainTradeTransaction/ram:ApplicableHeaderTradeSettlement/ram:SpecifiedTradeSettlementHeaderMonetarySummation/ram:DuePayableAmount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b) pokud budě měna &lt;&gt; CZK, tak prázdné (v db nastavit sloupec castka jako nepovinný) pozn. v xml není kurz, tj. u cizoměnných faktur částku CZK doplnit až při otevření faktury, dle daného kurzu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cFaISDOC.castkaKUhradeCM &lt;- /rsm:CrossIndustryInvoice/rsm:SupplyChainTradeTransaction/ram:ApplicableHeaderTradeSettlement/ram:SpecifiedTradeSettlementHeaderMonetarySummation/ram:DuePayableAmount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cFaISDOC.dph &lt;- 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lastRenderedPageBreak/>
              <w:t>/rsm:CrossIndustryInvoice/rsm:SupplyChainTradeTransaction/ram:ApplicableHeaderTradeSettlement/ram:SpecifiedTradeAllowanceCharge/ram:CategoryTradeTax/ram:RateApplicablePercent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cFaISDOC.mena &lt;- /rsm:CrossIndustryInvoice/rsm:SupplyChainTradeTransaction/ram:ApplicableHeaderTradeSettlement/ram:InvoiceCurrencyCode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cFaISDOC.kurz &lt;- null, pozn. není v xml (pozn. znepovinit položku v db, kurz vyplnit až při otevření formuláře faktury)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cFaISDOC.datumSplatnosti &lt;- /rsm:CrossIndustryInvoice/rsm:SupplyChainTradeTransaction/ram:ApplicableHeaderTradeSettlement/ram:SpecifiedTradePaymentTerms/ram:DueDateDateTime/udt:DateTimeString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cFaISDOC.datumVystaveni &lt;- /rsm:CrossIndustryInvoice/rsm:ExchangedDocument/ram:IssueDateTime/udt:DateTimeString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cFaISDOC.datumPlneni &lt;- /rsm:CrossIndustryInvoice/rsm:SupplyChainTradeTransaction/ram:ApplicableHeaderTradeSettlement/ram:ApplicableTradeTax/ram:TaxPointDate/udt:DateString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cFaISDOC.poznamka &lt;- /rsm:CrossIndustryInvoice/rsm:ExchangedDocument/ram:IncludedNote/ram:Content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cFaISDOC.variabSymbol &lt;- vyplní se prvních 10 cifer z čísla faktury dodavatele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cFaISDOC.specSymbol &lt;- null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cFaISDOC.konstSymbol &lt;- null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cFaISDOC.zpusobUhrady &lt;- /rsm:CrossIndustryInvoice/rsm:SupplyChainTradeTransaction/ram:ApplicableHeaderTradeSettlement/ram:SpecifiedTradeSettlementPaymentMeans/ram:TypeCode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cFaISDOC.elektronickyPodpis &lt;- B (Bez podpisu)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cFaISDOC.cFaPrijatyDoklad_id &lt;- null, pozn. vyplní se až po vytvoření faktury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UBL - Přenést do cFaISDOC údaje z XML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Alternate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1. Systém nastaví hodnoty do cFaISDOC z XML souboru dle těchto pravidel: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cFaISDOC.verze &lt;- nevyplňovat, v db nastavit jako nepovinné pole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cFaISDOC.cisloFaktury &lt;- /Invoice/cbc:ID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cFaISDOC.uidFaktury &lt;- /Invoice/cbc:ID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cFaISDOC.druhDokladu &lt;- /Invoice/cbc:InvoiceTypeCode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 &lt;- a) pokud bude měna = CZK, tak/Invoice/cac:LegalMonetaryTotal/cbc:TaxInclusiveAmount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b) pokud budě měna &lt;&gt; CZK, tak prázdné (v db nastavit sloupec castka jako nepovinný) pozn. v xml není kurz, tj. u cizoměnných faktur částku CZK doplnit až při otevření faktury, dle daného kurzu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cFaISDOC.castkaCM &lt;- /Invoice/cac:LegalMonetaryTotal/cbc:TaxInclusiveAmount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cFaISDOC.castkaKUhrade &lt;-a) pokud bude měna = CZK, tak /Invoice/cac:LegalMonetaryTotal/cbc:PayableAmount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b) pokud budě měna &lt;&gt; CZK, tak prázdné (v db nastavit sloupec castka jako nepovinný) pozn. v xml není kurz, tj. u cizoměnných faktur částku CZK doplnit až při otevření faktury, dle daného kurzu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cFaISDOC.castkaKUhradeCM &lt;- /Invoice/cac:LegalMonetaryTotal/cbc:PayableAmount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cFaISDOC.dph &lt;- /rsm:CrossIndustryInvoice/rsm:SupplyChainTradeTransaction/ram:ApplicableHeaderTradeSettlement/ram:SpecifiedTradeAllowanceCharge/ram:CategoryTradeTax/ram:RateApplicablePercent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cFaISDOC.mena &lt;- /Invoice/cbc:DocumentCurrencyCode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cFaISDOC.kurz &lt;- null, pozn. není v xml, znepovinit položku v db, kurz vyplnit až při otevření formuláře faktury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cFaISDOC.datumSplatnosti &lt;- /Invoice/cbc:DueDate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cFaISDOC.datumVystaveni &lt;- /Invoice/cbc:IssueDate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cFaISDOC.datumPlneni &lt;- /Invoice/cbc:TaxPointDate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cFaISDOC.poznamka &lt;- /Invoice/cbc:Note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cFaISDOC.variabSymbol &lt;- vyplní se prvních 10 cifer z čísla faktury dodavatele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cFaISDOC.specSymbol &lt;- null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cFaISDOC.konstSymbol &lt;- null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cFaISDOC.zpusobUhrady &lt;- /Invoice/cac:PaymentMeans/cbc:PaymentMeansCode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cFaISDOC.elektronickyPodpis &lt;- B (Bez podpisu)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cFaISDOC.cFaPrijatyDoklad_id &lt;- null, pozn. vyplní se až po vytvoření faktury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8619D5" w:rsidP="003014ED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pStyle w:val="Nadpis3"/>
        <w:spacing w:before="240" w:after="60"/>
        <w:ind w:left="23"/>
      </w:pPr>
      <w:bookmarkStart w:id="3" w:name="BKM_9FE7E068_F6C5_43F4_BC30_778BDE75D456"/>
      <w:r>
        <w:rPr>
          <w:rFonts w:ascii="Calibri" w:eastAsia="Calibri" w:hAnsi="Calibri" w:cs="Calibri"/>
        </w:rPr>
        <w:t>Zobrazit ISDOC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Zrealizováno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Funkce zobrazí obsah ISDOC (resp. isdocx) souboru pomocí programu ISDOC Reader.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3014ED" w:rsidRPr="003014ED" w:rsidRDefault="003014ED" w:rsidP="003014ED">
      <w:pPr>
        <w:pStyle w:val="Odstavecseseznamem"/>
        <w:numPr>
          <w:ilvl w:val="0"/>
          <w:numId w:val="11"/>
        </w:numPr>
        <w:rPr>
          <w:rFonts w:ascii="Calibri" w:eastAsia="Calibri" w:hAnsi="Calibri" w:cs="Calibri"/>
          <w:color w:val="008000"/>
          <w:sz w:val="20"/>
          <w:szCs w:val="20"/>
        </w:rPr>
      </w:pPr>
      <w:r w:rsidRPr="003014ED">
        <w:rPr>
          <w:rFonts w:ascii="Calibri" w:eastAsia="Calibri" w:hAnsi="Calibri" w:cs="Calibri"/>
          <w:color w:val="008000"/>
          <w:sz w:val="20"/>
          <w:szCs w:val="20"/>
        </w:rPr>
        <w:t>Pro CII a UBL zatím nezapracovávat změny, čeká se, jestli nebude k dispozici obecná čtečka nových formátů CII a UBL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End w:id="3"/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t>Zpracovat/Zobrazit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Zrealizováno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UC představuje dvojfunkci - vytvoření avisového přijatého dokladu z naimportovaného ISDOC dokladu (pokud z ještě z daného ISDOC dokladu přijatý doklad nebyl vytvořen) nebo už jen zobrazení přijatého dokladu vzniklého z daného ISDOC dokladu.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3014ED" w:rsidRDefault="003014ED" w:rsidP="003014ED">
      <w:pPr>
        <w:ind w:left="23"/>
        <w:rPr>
          <w:rFonts w:ascii="Calibri" w:eastAsia="Calibri" w:hAnsi="Calibri" w:cs="Calibri"/>
          <w:color w:val="008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23.07.2018 VM (legislativa)</w:t>
      </w:r>
    </w:p>
    <w:p w:rsidR="008619D5" w:rsidRDefault="003014ED" w:rsidP="003C5BA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Změny u této funčknosti ohledně CII a UBL v jednotlivých připojených UC, viz níže.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Zpracovat/Zobrazit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 xml:space="preserve"> Basic Path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 Uživatel spustí funkci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Zpracovat/Zobrazit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2. Pokud je elektronická faktura ve stavu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Importovaná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tak pokračovat dalším bodem scénáře. Pokud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Zpracovaná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pokračovat bodem Zpracováná. 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Systém vyplní a zobrazí formulář pro Přijaté faktury.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4. Systém předvyplní hodnoty do hlavičky a položek přijatého dokladu podle logiky definované v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Předvyplnit hlavičku a položky podle XML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5. Systém provede krok dohledání případných záloh a dobropisované faktury v datech Avisu - viz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Provést dohledání a dotahy pro přijatý doklad generovaný z elektronické faktury.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6. Systém před uložením provede kontrolu a upozornění na změny proti předvyplnění ISDOC - viz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Provést kontroly na změny proti elektronické faktury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7. Systém k zakládanému dokladu od cFaISDOC zkopíruje připojené soubory - viz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UC Přenést soubory od cFaISDOC k přijatému dokladu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8. Po uložení dokladu systém nastaví hodnotu cFaISDOC.stav na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Zpracovaná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hodnotu cFaISDOC.cFaPrijatyDoklad_id dle ID právě uložené faktury.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Zpracovaná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 Systém otevře formulář Přijaté faktury dle cFaISDOC.cFaPrijatyDoklad_id. Všechny položky budou needitovatelné.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t>Předvyplnit hlavičku a položky podle XML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Změna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23.07.2018 VM (legislativa)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přidány scénáře pro import nových formátů el. faktury meziodvětvová faktura: CEFACT, UBL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Systémový UC, do kterého je z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(kde to bylo původně) vytažená logika předvyplnění údajů v cFaPrijatyDoklad a cFaPrijatyDokladRadek podle XML.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Logika je zkopírovaná jak byla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(předpokládá se, že platí).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UC má představovat existující logiku z agendy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Elektronické faktury ISDOC</w:t>
      </w:r>
      <w:r>
        <w:rPr>
          <w:rFonts w:ascii="Calibri" w:eastAsia="Calibri" w:hAnsi="Calibri" w:cs="Calibri"/>
          <w:color w:val="000000"/>
          <w:sz w:val="20"/>
          <w:szCs w:val="20"/>
        </w:rPr>
        <w:t>, která je takhle vytažená do samostatného UC, aby se na ni dalo odkazovat i z jiných míst (např. ze zpracování souborů od došlých zpráv).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ISDOC - Předvyplnit hlavičku a položky podle XML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Basic Path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 Systém přednastaví tyto hodnoty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hlavičky: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Promítnutí Invoice/DocumentType: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Invoice/DocumentType 1: cFaPrijatyDoklad.Typ = “Faktura”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Invoice/DocumentType 2, 3 nebo 6: cFaPrijatyDoklad.Typ = “Dobropis”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Invoice/DocumentType 4: cFaPrijatyDoklad.Typ = “Záloha” (převodní tabulka) a cFaPrijatyDoklad.zaznamniPovinnost = N. V druhé fázi vývoje, systém umožní uživateli výběr Záloha nebo Zálohový list a dle volby předvyplní a zobrazí odpovídající formulář.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Invoice/DocumentType 5: cFaPrijatyDoklad.Typ = “Záloha” (převodní tabulka) a cFaPrijatyDoklad.zaznamniPovinnost = 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cFaPrijatyDoklad.zaznamniPovinnost - N, když sazby 0% (InvoiceLine/ClassifiedTaxCategory.Percent), jinak 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cFaPrijatyDoklad.StavPredkontaceZ = -1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cFaPrijatyDoklad.StavPredkontaceP = -1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cFaPrijatyDoklad.cFaPrijatyDokladStav_id = (Přijatá)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cFaPrijatyDoklad.StavPrenosu = „Nezahajen“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cFaPrijatyDoklad.DatumPrijeti = aktuální datum.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2. Systém nastaví hodnoty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hlavičky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faktury, dle XML souboru dle těchto vazeb: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cFaPrijatyDoklad.cPlatbaZpusobUhrady_id &lt;- Invoice/PaymentMeans/Payment[1]/PaymentMeansCode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pokud v ISDOC různé způsoby úhrady, zobrazit hlášku a přednastavit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převodem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cFaPrijatyDoklad.cMena_id &lt;- Invoice/ForeignCurrencyCode (nebo) Invoice/LocalCurrencyCode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cFaPrijatyDoklad.Kurz &lt;- 1.0 (nebo) Invoice/CurrRate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cFaPrijatyDoklad.DatumKurzu &lt;- Invoice/IssueDate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cFaPrijatyDoklad.DatumVystaveni &lt;- Invoice/IssueDate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cFaPrijatyDoklad.DatumPlneni &lt;- Invoice/TaxPointDate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cFaPrijatyDoklad.DatumSplatnosti &lt;- Invoice/PaymentMeans/Payment[x]/Details/PaymentDueData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kde x je platba s minimálním datem splatnosti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cFaPrijatyDoklad.UcelPlatby &lt;- Invoice/Note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cFaPrijatyDoklad.Poznamka - nevyplňovat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cFaPrijatyDoklad.CisloFaDodavatele &lt;- Invoice/ID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cFaPrijatyDoklad.VariabSymbol &lt;- Invoice/PaymentMeans/Payment[x]/Details/VariableSymbol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kde x je libovolná platba převodem s vyplněným var. symb. Pokud var.s. není vyplněný, tak prvních 10 cifer z čísla faktury dodavatele.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cFaPrijatyDoklad.cKonstSymbol &lt;- Invoice/PaymentMeans/Payment[x]/Details/ConstantSymbol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kde x je libovolná platba převodem s vyplněným konst. symb.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cFaPrijatyDoklad.cPobocka_id &lt;- Invoice/AccountingSupplierParty/Party/PartyIdentification/ID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Systém zkusí dohledat partnera dle IČ z účetní adresy, když existuje více poboček se stejným IČ, zkusí dohledat přes bank. účet part. nebo město. Když systém pobočku nenajde jednoznačně, číselník zůstane nevyplněný, ale bude vyfiltrovaný dle IČ.město. K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cFaPrijatyDoklad.haleroveVyrovnani &lt;- Invoice/LegalMonetaryTotal/PayableRoundingAmount. Pokud element neexistuje, pak nula.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3. Systém nastaví hodnota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řádku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faktury, dle XML souboru dle těchto vazeb: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cFaPrijatyDokladRadek.CisloRadku &lt;- InvoiceLine/ID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cFaPrijatyDokladRadek.Predmet &lt;- InvoiceLine/Item/Description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cFaPrijatyDokladRadek.Mnozstvi &lt;- InvoiceLine/InvoicedQuantity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cFaPrijatyDokladRadek.Castka &lt;- InvoiceLine/LineExtensionAmountTaxInclusive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cFaPrijatyDokladRadek.CastkaBezDph &lt;- InvoiceLine/LineExtensionAmount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cFaPrijatyDokladRadek.CastkaCM &lt;- InvoiceLine/LineExtensionAmountTaxInclusiveCurr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cFaPrijatyDokladRadek.CastkaBezDPHCM &lt;- InvoiceLine/LineExtensionAmountCurr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cFaPrijatyDokladRadek.cSazbaDPH_id &lt;- InvoiceLine/ClassifiedTaxCategory/Percent (cSazbaDPH.ID)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cFaPrijatyDokladRadek.CastkaZaJednotku &lt;- InvoiceLine/UnitPrice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cFaPrijatyDokladRadek.CastkaZaJednotkuCM &lt;- InvoiceLine/UnitPrice / cFaPrijatyDoklad.Kurz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cFaPrijatyDokladRadek.CastkaDPH &lt;- InvoiceLine/LineExtensionTaxAmount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cFaPrijatyDokladRadek.cMernaJednotka_id &lt;- InvoiceLine/InvoicedQuantity[@unitCode] (cMernaJednotka.ID)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cFaPrijatyDokladRadek.Jednotka &lt;- InvoiceLine/InvoicedQuantity[@unitCode] (cMernaJednotka.Popis)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cFaPrijatyDokladRadek.Sazba &lt;- InvoiceLine/ClassifiedTaxCategory.Percent.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CII (CEFACT) - Předvyplnit hlavičku a položky podle XML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Alternate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1. Systém přednastaví tyto hodnoty </w:t>
            </w: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hlavičky: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Promítnutí Invoice/DocumentType: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/rsm:CrossIndustryInvoice/rsm:ExchangedDocument/ram:TypeCode =380: cFaPrijatyDoklad.Typ = “Faktura”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/rsm:CrossIndustryInvoice/rsm:ExchangedDocument/ram:TypeCode =381: cFaPrijatyDoklad.Typ = “Dobropis”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/rsm:CrossIndustryInvoice/rsm:ExchangedDocument/ram:TypeCode =325: cFaPrijatyDoklad.Typ = “Záloha”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pokud nebude dohledán ani jeden z vyjmenovaných typů, bude položka nepředvyplněna, uživatel vybere typ dokaldu z číselníku ve formuláři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cFaPrijatyDoklad.zaznamniPovinnost - N, když sazby 0% (/rsm:CrossIndustryInvoice/rsm:SupplyChainTradeTransaction/ram:ApplicableHeaderTradeSettlement/ram:SpecifiedTradeAllowanceCharge/ram:CategoryTradeTax/ram:RateApplicablePercent), jinak 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cFaPrijatyDoklad.StavPredkontaceZ = -1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cFaPrijatyDoklad.StavPredkontaceP = -1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cFaPrijatyDoklad.cFaPrijatyDokladStav_id = (Přijatá)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cFaPrijatyDoklad.StavPrenosu = „Nezahájen“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cFaPrijatyDoklad.DatumPrijeti = aktuální datum.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2. Systém nastaví hodnoty </w:t>
            </w: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hlavičky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faktury, dle XML souboru dle těchto vazeb: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cFaPrijatyDoklad.cPlatbaZpusobUhrady_id &lt;- /rsm:CrossIndustryInvoice/rsm:SupplyChainTradeTransaction/ram:ApplicableHeaderTradeSettlement/ram:SpecifiedTradeSettlementPaymentMeans/ram:TypeCode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pokud v souboru různé způsoby úhrady, zobrazit hlášku a přednastavit </w:t>
            </w:r>
            <w:r>
              <w:rPr>
                <w:rFonts w:ascii="Calibri" w:eastAsia="Calibri" w:hAnsi="Calibri" w:cs="Calibri"/>
                <w:i/>
                <w:color w:val="008000"/>
                <w:sz w:val="20"/>
                <w:szCs w:val="20"/>
              </w:rPr>
              <w:t>Převod na účet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cFaPrijatyDoklad.cMena_id &lt;- /rsm:CrossIndustryInvoice/rsm:SupplyChainTradeTransaction/ram:ApplicableHeaderTradeSettlement/ram:InvoiceCurrencyCode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cFaPrijatyDoklad.Kurz &lt;- pokud je měna= CZK, tak = 1.0, , pokud je měna různá od CZK doplnit standardní funkčností (viz UC vyplnění kurzu měny) vyplnění kurzovního lístku k datumu Kurzu.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cFaPrijatyDoklad.DatumKurzu &lt;- /rsm:CrossIndustryInvoice/rsm:ExchangedDocument/ram:IssueDateTime/udt:DateTimeString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cFaPrijatyDoklad.DatumVystaveni &lt;- /rsm:CrossIndustryInvoice/rsm:ExchangedDocument/ram:IssueDateTime/udt:DateTimeString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cFaPrijatyDoklad.DatumPlneni &lt;- rsm:CrossIndustryInvoice/rsm:SupplyChainTradeTransaction/ram:ApplicableHeaderTradeSettlement/ram:ApplicableTradeTax/ram:TaxPointDate/udt:DateString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cFaPrijatyDoklad.DatumSplatnosti &lt;- /rsm:CrossIndustryInvoice/rsm:SupplyChainTradeTransaction/ram:ApplicableHeaderTradeSettlement/ram:SpecifiedTradePaymentTerms/ram:DueDateDateTime/udt:DateTimeString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cFaPrijatyDoklad.UcelPlatby &lt;- /rsm:CrossIndustryInvoice/rsm:ExchangedDocument/ram:IncludedNote/ram:Content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cFaPrijatyDoklad.Poznamka - nevyplňovat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cFaPrijatyDoklad.CisloFaDodavatele &lt;- /rsm:CrossIndustryInvoice/rsm:ExchangedDocument/ram:ID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cFaPrijatyDoklad.VariabSymbol &lt;- vyplní se prvních 10 cifer z čísla faktury dodavatele.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cFaPrijatyDoklad.cKonstSymbol &lt;- null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cFaPrijatyDoklad.cPobocka_id &lt;- /rsm:CrossIndustryInvoice/rsm:SupplyChainTradeTransaction/ram:ApplicableHeaderTradeAgreement/ram:SellerTradeParty/ram:SpecifiedLegalOrganization/ram:ID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lastRenderedPageBreak/>
              <w:t>Systém zkusí dohledat partnera dle IČ , když existuje více poboček se stejným IČ, zkusí dohledat přes bank. účet part. (/rsm:CrossIndustryInvoice/rsm:SupplyChainTradeTransaction/ram:ApplicableHeaderTradeSettlement/ram:SpecifiedTradeSettlementPaymentMeans/ram:PayeePartyCreditorFinancialAccount/ram:IBANID) nebo město (/rsm:CrossIndustryInvoice/rsm:SupplyChainTradeTransaction/ram:ApplicableHeaderTradeAgreement/ram:SellerTradeParty/ram:PostalTradeAddress/ram:CityName). Když systém pobočku nenajde jednoznačně, číselník zůstane nevyplněný, ale bude vyfiltrovaný dle IČ.město. K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cFAPrijatyDoklad.cBankovniUcet_part_id &lt;- systém dohledá bankovní účty vyplněného partnera, předvyplní účet dle polozky ucet, nebo IBAN (/rsm:CrossIndustryInvoice/rsm:SupplyChainTradeTransaction/ram:ApplicableHeaderTradeSettlement/ram:SpecifiedTradeSettlementPaymentMeans/ram:PayeePartyCreditorFinancialAccount/ram:IBANID, banka dle kodBanky, nebo kodSWIFTBIC: rsm:CrossIndustryInvoice/rsm:SupplyChainTradeTransaction/ram:ApplicableHeaderTradeSettlement/ram:SpecifiedTradeSettlementPaymentMeans/ram:PayeeSpecifiedCreditorFinancialInstitution/ram:BICID)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cFaPrijatyDoklad.haleroveVyrovnani &lt;- /rsm:CrossIndustryInvoice/rsm:SupplyChainTradeTransaction/ram:ApplicableHeaderTradeSettlement/ram:SpecifiedTradeSettlementHeaderMonetarySummation/ram:RoundingAmount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3. Systém nastaví hodnoty </w:t>
            </w: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řádku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faktury, dle XML souboru dle těchto vazeb: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cFaPrijatyDokladRadek.CisloRadku &lt;- /rsm:CrossIndustryInvoice/rsm:SupplyChainTradeTransaction/ram:IncludedSupplyChainTradeLineItem/ram:AssociatedDocumentLineDocument/ram:LineID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cFaPrijatyDokladRadek.Predmet &lt;- /rsm:CrossIndustryInvoice/rsm:SupplyChainTradeTransaction/ram:IncludedSupplyChainTradeLineItem/ram:SpecifiedTradeProduct/ram:Name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cFaPrijatyDokladRadek.Mnozstvi &lt;- /rsm:CrossIndustryInvoice/rsm:SupplyChainTradeTransaction/ram:IncludedSupplyChainTradeLineItem/ram:SpecifiedLineTradeDelivery/ram:BilledQuantity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 &lt;- systém částku dopočítá dle částky CM, kurzu, pozn. logika přepočtu částek shodná, jako při uživatelském vyplnění řádku fakutry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cFaPrijatyDokladRadek.CastkaBezDph &lt;- systém částku dopočítá dle částky bez DPH CM, kurzu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cFaPrijatyDokladRadek.CastkaCM &lt;- - systém částku dopočítá dle částky bez DPH CM a sazby DPH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cFaPrijatyDokladRadek.CastkaBezDPHCM &lt;- /rsm:CrossIndustryInvoice/rsm:SupplyChainTradeTransaction/ram:IncludedSupplyChainTradeLineItem/ram:SpecifiedLineTradeSettlement/ram:SpecifiedTradeSettlementLineMonetarySummation/ram:LineTotalAmount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cFaPrijatyDokladRadek.cSazbaDPH_id &lt;- /rsm:CrossIndustryInvoice/rsm:SupplyChainTradeTransaction/ram:IncludedSupplyChainTradeLineItem/ram:SpecifiedLineTradeSettlement/ram:ApplicableTradeTax/ram:RateApplicablePercent (cSazbaDPH.sazba)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cFaPrijatyDokladRadek.CastkaZaJednotku &lt;- systém částku dopočítá dle částky za jednotku CM, kurzu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cFaPrijatyDokladRadek.CastkaZaJednotkuCM &lt;- /rsm:CrossIndustryInvoice/rsm:SupplyChainTradeTransaction/ram:IncludedSupplyChainTradeLineItem/ram:SpecifiedLineTradeAgreement/ram:NetPriceProductTradePrice/ram:ChargeAmount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cFaPrijatyDokladRadek.CastkaDPH &lt;systém částku dopočítá dle částky bez dph a sazby dph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cFaPrijatyDokladRadek.cMernaJednotka_id &lt;- /rsm:CrossIndustryInvoice/rsm:SupplyChainTradeTransaction/ram:IncludedSupplyChainTradeLineItem/ram:SpecifiedLineTradeDelivery/ram:BilledQuantity/@unitCode (cMernaJednotka.ID)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cFaPrijatyDokladRadek.Jednotka &lt;- /rsm:CrossIndustryInvoice/rsm:SupplyChainTradeTransaction/ram:IncludedSupplyChainTradeLineItem/ram:SpecifiedLineTradeDelivery/ram:BilledQuantity/@unitCode (cMernaJednotka.Popis)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cFaPrijatyDokladRadek.Sazba &lt;- /rsm:CrossIndustryInvoice/rsm:SupplyChainTradeTransaction/ram:IncludedSupplyChainTradeLineItem/ram:SpecifiedLineTradeSettlement/ram:ApplicableTradeTax/ram:RateApplicablePercent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UBL - Předvyplnit hlavičku a položky podle XML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Alternate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1. Systém přednastaví tyto hodnoty </w:t>
            </w: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hlavičky: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Promítnutí Invoice/DocumentType: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Invoice/DocumentType =380: cFaPrijatyDoklad.Typ = “Faktura”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Invoice/DocumentType =381: cFaPrijatyDoklad.Typ = “Dobropis” (převodní tabulka), pozn. pokud se bude importovat 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lastRenderedPageBreak/>
              <w:t>dobropis, názvy elementů shodné s fakturou (Invoice). Cesta k elementům uvozena místo Invoice -&gt; CreditNote.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Invoice/DocumentType =325: cFaPrijatyDoklad.Typ = “Záloha”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pokud nebude dohledán ani jeden z vyjmenovaných typů, bude položka nepředvyplněna, uživatel vybere typ dokaldu z číselníku ve formuláři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cFaPrijatyDoklad.zaznamniPovinnost - N, když sazby 0% (/Invoice/cac:TaxTotal/cac:TaxSubtotal/cac:TaxCategory/cbc:Percent, jinak 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cFaPrijatyDoklad.StavPredkontaceZ = -1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cFaPrijatyDoklad.StavPredkontaceP = -1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cFaPrijatyDoklad.cFaPrijatyDokladStav_id = (Přijatá)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cFaPrijatyDoklad.StavPrenosu = „Nezahájen“ (převodní tabulka)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cFaPrijatyDoklad.DatumPrijeti = aktuální datum.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2. Systém nastaví hodnoty </w:t>
            </w: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hlavičky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faktury, dle XML souboru dle těchto vazeb: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cFaPrijatyDoklad.cPlatbaZpusobUhrady_id &lt;- /Invoice/cac:PaymentMeans/cbc:PaymentMeansCode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pokud v souboru různé způsoby úhrady, zobrazit hlášku a přednastavit </w:t>
            </w:r>
            <w:r>
              <w:rPr>
                <w:rFonts w:ascii="Calibri" w:eastAsia="Calibri" w:hAnsi="Calibri" w:cs="Calibri"/>
                <w:i/>
                <w:color w:val="008000"/>
                <w:sz w:val="20"/>
                <w:szCs w:val="20"/>
              </w:rPr>
              <w:t>Převod na účet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cFaPrijatyDoklad.cMena_id &lt;- /Invoice/cbc:DocumentCurrencyCode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cFaPrijatyDoklad.Kurz &lt;- pokud je měna= CZK, tak = 1.0, pokud je měna různá od CZK doplnit standardní funkčností (viz UC vyplnění kurzu měny) vyplnění kurzovního lístku k datumu Kurzu.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cFaPrijatyDoklad.DatumKurzu &lt;- /Invoice/cbc:IssueDate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cFaPrijatyDoklad.DatumVystaveni &lt;- /Invoice/cbc:IssueDate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cFaPrijatyDoklad.DatumPlneni &lt;- /Invoice/cbc:TaxPointDate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cFaPrijatyDoklad.DatumSplatnosti &lt;- /Invoice/cbc:DueDate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cFaPrijatyDoklad.UcelPlatby &lt;- /rsm:CrossIndustryInvoice/rsm:ExchangedDocument/ram:IncludedNote/ram:Content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cFaPrijatyDoklad.Poznamka - nevyplňovat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cFaPrijatyDoklad.CisloFaDodavatele &lt;- /Invoice/cbc:ID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cFaPrijatyDoklad.VariabSymbol &lt;- vyplní se prvních 10 cifer z čísla faktury dodavatele.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cFaPrijatyDoklad.cKonstSymbol &lt;- null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cFaPrijatyDoklad.cPobocka_id &lt;- /Invoice/cac:AccountingSupplierParty/cac:Party/cac:PartyIdentification/cbc:ID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Systém zkusí dohledat partnera dle IČ , když existuje více poboček se stejným IČ, zkusí dohledat přes bank. účet part. (/Invoice/cac:PaymentMeans/cac:PayeeFinancialAccount/cbc:ID) nebo město (/Invoice/cac:AccountingSupplierParty/cac:Party/cac:PostalAddress/cbc:CityName). Když systém pobočku nenajde jednoznačně, číselník zůstane nevyplněný, ale bude vyfiltrovaný dle IČ.město. K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cFAPrijatyDoklad.cBankovniUcet_part_id &lt;- systém dohledá bankovní účty vyplněného partnera, předvyplní účet dle polozky ucet, nebo IBAN (/Invoice/cac:PaymentMeans/cac:PayeeFinancialAccount/cbc:ID, banka dle kodBanky, nebo kodSWIFTBIC: /Invoice/cac:PaymentMeans/cac:PayeeFinancialAccount/cac:FinancialInstitutionBranch/cbc:ID)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cFaPrijatyDoklad.haleroveVyrovnani &lt;- /Invoice/cac:LegalMonetaryTotal/cbc:PayableRoundingAmount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3. Systém nastaví hodnoty </w:t>
            </w: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řádku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 faktury, dle XML souboru dle těchto vazeb: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cFaPrijatyDokladRadek.CisloRadku &lt;- /Invoice/cac:InvoiceLine/cbc:ID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cFaPrijatyDokladRadek.Predmet &lt;- /Invoice/cac:InvoiceLine/cac:Item/cbc:Name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cFaPrijatyDokladRadek.Mnozstvi &lt;- /Invoice/cac:InvoiceLine/cbc:InvoicedQuantity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 &lt;- systém částku dopočítá dle částky CM, kurzu, pozn. logika přepočtu částek shodná, jako při uživatelském vyplnění řádku fakutry.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cFaPrijatyDokladRadek.CastkaBezDph &lt;- systém částku dopočítá dle částky bez DPH CM, kurzu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cFaPrijatyDokladRadek.CastkaCM &lt;- systém částku dopočítá dle částky bez DPH CM a sazby DPH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cFaPrijatyDokladRadek.CastkaBezDPHCM &lt;- /Invoice/cac:InvoiceLine/cbc:LineExtensionAmount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cFaPrijatyDokladRadek.cSazbaDPH_id &lt;- /Invoice/cac:InvoiceLine/cac:Item/cac:ClassifiedTaxCategory/cbc:Percent (cSazbaDPH.sazba)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cFaPrijatyDokladRadek.CastkaZaJednotku &lt;- systém částku dopočítá dle částky za jednotku CM, kurzu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cFaPrijatyDokladRadek.CastkaZaJednotkuCM &lt;- /Invoice/cac:InvoiceLine/cac:Price/cbc:PriceAmount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cFaPrijatyDokladRadek.CastkaDPH &lt;- systém částku dopočítá dle částky bez dph a sazby dph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cFaPrijatyDokladRadek.cMernaJednotka_id &lt;- /Invoice/cac:InvoiceLine/cbc:InvoicedQuantity/@unitCode (cMernaJednotka.ID) - pokud není dohledáno dle kódu měrné jednotky, nebude vyplněno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cFaPrijatyDokladRadek.Jednotka &lt;- /Invoice/cac:InvoiceLine/cbc:InvoicedQuantity/@unitCode (cMernaJednotka.Popis)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cFaPrijatyDokladRadek.Sazba &lt;- /Invoice/cac:InvoiceLine/cac:Item/cac:ClassifiedTaxCategory/cbc:Percent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C5BAD" w:rsidRDefault="003C5BA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C5BAD" w:rsidRDefault="003C5BA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C5BAD" w:rsidRDefault="003C5BA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lastRenderedPageBreak/>
        <w:t>Provést dohledání a dotahy pro přijatý doklad generovaný z elektronické faktury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Změna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Toto je UC, do kterého je z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(kde to bylo původně) vytažená logika dohledání případných záloh a dobropisované faktury v datech Avisu.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Logika je zkopírovaná jak byla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(předpokládá se, že platí).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UC má představovat existující logiku z agendy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Elektronické faktury</w:t>
      </w:r>
      <w:r>
        <w:rPr>
          <w:rFonts w:ascii="Calibri" w:eastAsia="Calibri" w:hAnsi="Calibri" w:cs="Calibri"/>
          <w:color w:val="000000"/>
          <w:sz w:val="20"/>
          <w:szCs w:val="20"/>
        </w:rPr>
        <w:t>, která je takhle vytažená do samostatného UC, aby se na ni dalo odkazovat i z jiných míst (např. ze zpracování souborů od došlých zpráv).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24.07. 2018 VM (legislativa)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dopracovány změny pro nové formáty eln. faktury: CII, UBL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Provést dohledání a dotahy pro přijatý doklad generovaný z elektronické faktury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Basic Path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1.Zálohy - pokud jsou v elektronické faktuře: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a) ISDOC - .isdoc uvedeny zálohy (Invoice/NonTaxedDeposits, Invoice/TaxedDeposits), systém se pokusí dohledat tyto zálohy v DB dle čísla, var. symb, částky a partnera a připojit k vytvářené faktuře (záložka Zálohy,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cFaPrijatyDokladObject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). Pokud se nepodaří zálohy najít, systém o tom zobrazí hlášení.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b) CII - uvedeny zálohy (/rsm:CrossIndustryInvoice/rsm:SupplyChainTradeTransaction/ram:ApplicableHeaderTradeSettlement/ram:SpecifiedTradeSettlementHeaderMonetarySummation/ram:TotalPrepaidAmount) systém se pokusí dohledat tyto zálohy v DB dle čísla, var. symb, částky a partnera a připojit k vytvářené faktuře (záložka Zálohy, </w:t>
            </w:r>
            <w:r>
              <w:rPr>
                <w:rFonts w:ascii="Calibri" w:eastAsia="Calibri" w:hAnsi="Calibri" w:cs="Calibri"/>
                <w:i/>
                <w:color w:val="008000"/>
                <w:sz w:val="20"/>
                <w:szCs w:val="20"/>
              </w:rPr>
              <w:t>cFaPrijatyDokladObject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). Pokud se nepodaří zálohy najít, systém o tom zobrazí hlášení.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c)UBL - uvedeny zálohy (/Invoice/cac:LegalMonetaryTotal/cbc:PrepaidAmount) systém se pokusí dohledat tyto zálohy v DB dle čísla, var. symb, částky a partnera a připojit k vytvářené faktuře (záložka Zálohy, </w:t>
            </w:r>
            <w:r>
              <w:rPr>
                <w:rFonts w:ascii="Calibri" w:eastAsia="Calibri" w:hAnsi="Calibri" w:cs="Calibri"/>
                <w:i/>
                <w:color w:val="008000"/>
                <w:sz w:val="20"/>
                <w:szCs w:val="20"/>
              </w:rPr>
              <w:t>cFaPrijatyDokladObject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). Pokud se nepodaří zálohy najít, systém o tom zobrazí hlášení.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2. Dobropis - 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a)ISDOC - pokud je .isdoc DocumentType= 2,3 nebo 6 (dobropis) a je uvedena dobropisovaná faktura ( Invoice/OriginalDocumentReference), systém se ji pokusí dohledat v DB dle čísla, data vystavení a partera a spojit s vytvářeným dobropisem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cFaPrijatyDoklad.cFaPrijatyDoklad_id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). Pokud se nepodaří dobropisovanou fakturu najít, systém o tom zobrazí hlášení.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b)CII - pokud je /rsm:CrossIndustryInvoice/rsm:ExchangedDocument/ram:TypeCode =381: cFaPrijatyDoklad.Typ = “Dobropis” (převodní tabulka)a je uvedena dobropisovaná faktura ( /rsm:CrossIndustryInvoice/rsm:SupplyChainTradeTransaction/ram:ApplicableHeaderTradeSettlement/ram:InvoiceReferencedDocument/ram:IssuerAssignedID), systém se ji pokusí dohledat v DB dle čísla, data vystavení (/CreditNote/cac:BillingReference/cac:InvoiceDocumentReference/cbc:IssueDate). Pokud se nepodaří dobropisovanou fakturu najít, systém o tom zobrazí hlášení.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b)UBL - pokud je CreditNote/DocumentType =381: cFaPrijatyDoklad.Typ = “Dobropis” a je uvedena dobropisovaná faktura ( /CreditNote/cac:BillingReference/cac:InvoiceDocumentReference/cbc:ID), systém se ji pokusí dohledat v DB dle čísla, data vystavení (/CreditNote/cac:BillingReference/cac:InvoiceDocumentReference/cbc:IssueDate) a partera a spojit s vytvářeným dobropisem (</w:t>
            </w:r>
            <w:r>
              <w:rPr>
                <w:rFonts w:ascii="Calibri" w:eastAsia="Calibri" w:hAnsi="Calibri" w:cs="Calibri"/>
                <w:i/>
                <w:color w:val="008000"/>
                <w:sz w:val="20"/>
                <w:szCs w:val="20"/>
              </w:rPr>
              <w:t>cFaPrijatyDoklad.cFaPrijatyDoklad_id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). Pokud se nepodaří dobropisovanou fakturu najít, systém o tom zobrazí hlášení.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t>Provést kontroly na změny proti elektronické faktuře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Zrealizováno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Toto je UC, do kterého je z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(kde to bylo původně) vytažená logika kontroly a ohlášení případných změn v přijatém dokladu proti předvyplnění podle ISDOC.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Logika je zkopírovaná jak byla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(předpokládá se, že platí).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UC má představovat existující logiku z agendy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Elektronické faktury ISDOC</w:t>
      </w:r>
      <w:r>
        <w:rPr>
          <w:rFonts w:ascii="Calibri" w:eastAsia="Calibri" w:hAnsi="Calibri" w:cs="Calibri"/>
          <w:color w:val="000000"/>
          <w:sz w:val="20"/>
          <w:szCs w:val="20"/>
        </w:rPr>
        <w:t>, která je takhle vytažená do samostatného UC, aby se na ni dalo odkazovat i z jiných míst (např. ze zpracování souborů od došlých zpráv).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Provést kontroly na změny proti elektronické faktuře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Basic Path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ISDOC - systém hromadně upozorní na položky, které byly změněny oproti předvyplnění z ISDOC a to včetně kontroly celkových částek (bez DPH, DPH, s DPH, v měně) a bank. účtu partnera (Invoice/PaymentMeans/Payment[x]/Details/ID + BankCode, kde x je libovolná platba s bank. účtem).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2D07CD">
      <w:pPr>
        <w:pStyle w:val="Nadpis3"/>
        <w:spacing w:before="240" w:after="60"/>
        <w:ind w:left="23"/>
      </w:pPr>
      <w:r>
        <w:rPr>
          <w:rFonts w:ascii="Calibri" w:eastAsia="Calibri" w:hAnsi="Calibri" w:cs="Calibri"/>
        </w:rPr>
        <w:t>Přenést soubory od cFaISDOC k přijatému dokladu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Změna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 xml:space="preserve">24.07.2018 VM 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dopracování připojení souborů i u nových formátů CII, UBL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25.4.2016 změna SK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Scénář UC zkorigovaný na zaákkladě toho, co bylo zjištěné při programování napojení doručených zpráv na logiku zpracování ISDOC - že k cFaPrijatyDoklad se od cFaISDOC kopíruje jen jediný soubor - isdoc nebo isdocx.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Systémový UC, do kterého je z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vytažená logika přenesení připojených souborů od cFaISDOC k cFaPrijatyDoklad.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Pozor, tohle je zvláštní případ.</w:t>
      </w: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 přenesení souborů od cFaISDOC k přijatému dokladu v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nebyla vůbec žádná zmínka, ale evidentně se tam musí provádět. Proto byl bod o přenesení souborů od cFaISDOC ke generovanému přijatému dokladu nejdřív doplněný do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UC Zpracovat/Zobrazit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(podle toho, jak se stávající funkčnost jeví podle existujících dat) a následně vytažený do tohoto UC.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2D07CD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Tj. UC má představovat existující logiku z agendy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Elektronické faktury ISDOC</w:t>
      </w:r>
      <w:r>
        <w:rPr>
          <w:rFonts w:ascii="Calibri" w:eastAsia="Calibri" w:hAnsi="Calibri" w:cs="Calibri"/>
          <w:color w:val="000000"/>
          <w:sz w:val="20"/>
          <w:szCs w:val="20"/>
        </w:rPr>
        <w:t>, která je takhle vytažená do samostatného UC, aby se na ni dalo odkazovat i z jiných míst (např. ze zpracování souborů od došlých zpráv), navíc s návrhem jedné menší změny ve fungování.</w:t>
      </w: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8619D5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8619D5" w:rsidRDefault="002D07CD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Přenést soubory od cFaISDOC k přijatému dokladu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Basic Path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Systém k zakládanému dokladu od cFaISDOC zkopíruje připojené soubory.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a)ISDOC - přenesení souborů k zakládanému dokladu se provádí tak, že se od cFaISDOC přenese pouze ten soubor (isdoc nebo isdocx), který vstoupil do zpracování/byl importován. Ostatní soubory od cFaISDOC se k cFaPrijatyDoklad nepřipojují. Připojovaný soubor se připojí jako hlavní nebo příloha v závislosti na tom, jestli už u cFaPrijatyDoklad je nějaký soubor připojený - při zakládání dokladu touto cestou by tam ještě za normálních okolností žádný jiný soubor připojený být neměl, takže by se soubor isdoc nebo isdocx měl připojit jako hlavní.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b)CII - přenesení souborů k zakládanému dokladu se provádí tak, že se od cFaISDOC přenese pouze ten soubor xml, který vstoupil do zpracování/byl importován</w:t>
            </w:r>
          </w:p>
          <w:p w:rsidR="008619D5" w:rsidRDefault="002D07CD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c)UBL - přenesení souborů k zakládanému dokladu se provádí tak, že se od cFaISDOC přenese pouze ten soubor xml, který vstoupil do zpracování/byl importován</w:t>
            </w:r>
          </w:p>
          <w:p w:rsidR="008619D5" w:rsidRDefault="008619D5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619D5" w:rsidRDefault="008619D5">
      <w:pPr>
        <w:ind w:left="23"/>
        <w:rPr>
          <w:rFonts w:ascii="Calibri" w:eastAsia="Calibri" w:hAnsi="Calibri" w:cs="Calibri"/>
          <w:sz w:val="20"/>
          <w:szCs w:val="20"/>
        </w:rPr>
      </w:pPr>
    </w:p>
    <w:p w:rsidR="002D07CD" w:rsidRDefault="002D07CD" w:rsidP="003014ED">
      <w:pPr>
        <w:pStyle w:val="Nadpis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Agenda Elektronické faktury - LT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</w:p>
    <w:p w:rsidR="002D07CD" w:rsidRDefault="002D07CD" w:rsidP="002D07CD">
      <w:pPr>
        <w:rPr>
          <w:rFonts w:ascii="Calibri" w:eastAsia="Calibri" w:hAnsi="Calibri" w:cs="Calibri"/>
          <w:color w:val="000000"/>
          <w:sz w:val="20"/>
          <w:szCs w:val="20"/>
        </w:rPr>
      </w:pPr>
      <w:bookmarkStart w:id="4" w:name="BKM_6AE8FB5F_3974_4B04_B98F_21A912A3D4A7"/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Agenda Elektronické faktury ISDOC - LT</w:t>
      </w:r>
    </w:p>
    <w:p w:rsidR="002D07CD" w:rsidRDefault="002D07CD" w:rsidP="003014ED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End w:id="4"/>
    </w:p>
    <w:p w:rsidR="002D07CD" w:rsidRDefault="002D07CD" w:rsidP="002D07CD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2D07CD" w:rsidRDefault="002D07CD" w:rsidP="002D07CD">
      <w:pPr>
        <w:pStyle w:val="Nadpis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cFaISDOC</w:t>
      </w:r>
    </w:p>
    <w:p w:rsidR="002D07CD" w:rsidRDefault="002D07CD" w:rsidP="002D07CD">
      <w:pPr>
        <w:rPr>
          <w:rFonts w:ascii="Calibri" w:eastAsia="Calibri" w:hAnsi="Calibri" w:cs="Calibri"/>
          <w:color w:val="00408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lastRenderedPageBreak/>
        <w:t>Typ:</w:t>
      </w:r>
      <w:r>
        <w:rPr>
          <w:rFonts w:ascii="Calibri" w:eastAsia="Calibri" w:hAnsi="Calibri" w:cs="Calibri"/>
          <w:i/>
          <w:color w:val="004080"/>
          <w:sz w:val="20"/>
          <w:szCs w:val="20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Analyst, </w:t>
      </w:r>
      <w:r>
        <w:rPr>
          <w:rFonts w:ascii="Calibri" w:eastAsia="Calibri" w:hAnsi="Calibri" w:cs="Calibri"/>
          <w:i/>
          <w:color w:val="004080"/>
          <w:sz w:val="20"/>
          <w:szCs w:val="20"/>
        </w:rPr>
        <w:t>Stereotyp: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, </w:t>
      </w:r>
      <w:r>
        <w:rPr>
          <w:rStyle w:val="FieldLabel"/>
          <w:rFonts w:ascii="Calibri" w:eastAsia="Calibri" w:hAnsi="Calibri" w:cs="Calibri"/>
          <w:i w:val="0"/>
        </w:rPr>
        <w:t>Package:</w:t>
      </w:r>
      <w:r>
        <w:rPr>
          <w:rStyle w:val="FieldLabel"/>
          <w:rFonts w:ascii="Calibri" w:eastAsia="Calibri" w:hAnsi="Calibri" w:cs="Calibri"/>
          <w:color w:val="000000"/>
        </w:rPr>
        <w:t xml:space="preserve"> Agenda Elektronické faktury ISDOC - LT</w:t>
      </w:r>
    </w:p>
    <w:p w:rsidR="002D07CD" w:rsidRDefault="002D07CD" w:rsidP="002D07CD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Style w:val="FieldLabel"/>
          <w:rFonts w:ascii="Calibri" w:eastAsia="Calibri" w:hAnsi="Calibri" w:cs="Calibri"/>
          <w:i w:val="0"/>
        </w:rPr>
        <w:t>Cesta:</w:t>
      </w:r>
      <w:r>
        <w:rPr>
          <w:rStyle w:val="FieldLabel"/>
          <w:rFonts w:ascii="Calibri" w:eastAsia="Calibri" w:hAnsi="Calibri" w:cs="Calibri"/>
          <w:i w:val="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Fakturace::Agenda Elektronické faktury ISDOC::Agenda Elektronické faktury ISDOC - LT::cFaISDOC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Style w:val="FieldLabel"/>
          <w:rFonts w:ascii="Calibri" w:eastAsia="Calibri" w:hAnsi="Calibri" w:cs="Calibri"/>
          <w:i w:val="0"/>
        </w:rPr>
        <w:t>Popis:</w:t>
      </w:r>
      <w:r>
        <w:rPr>
          <w:rStyle w:val="FieldLabel"/>
          <w:rFonts w:ascii="Calibri" w:eastAsia="Calibri" w:hAnsi="Calibri" w:cs="Calibri"/>
          <w:i w:val="0"/>
        </w:rPr>
        <w:tab/>
      </w:r>
      <w:r>
        <w:rPr>
          <w:rFonts w:ascii="Calibri" w:eastAsia="Calibri" w:hAnsi="Calibri" w:cs="Calibri"/>
          <w:color w:val="008000"/>
          <w:sz w:val="20"/>
          <w:szCs w:val="20"/>
        </w:rPr>
        <w:t>23.07.2018 VM (legislativa)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nový sloupec formatFaktuy + převodní tabulka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verze - změna povinnosti na nepovinný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castka - změna povinnosti na nepovinný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kurz - změna povinnosti na nepovinný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castkaKUhrade - změna povinnosti na nepovinný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4.9.2013 - Honza: doplněny atributy castkaKUhrade a castkaKUhradeCM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8000"/>
          <w:sz w:val="20"/>
          <w:szCs w:val="20"/>
        </w:rPr>
      </w:pP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zpětně dodělávaná analýza (dle Pindi)</w:t>
      </w:r>
    </w:p>
    <w:p w:rsidR="002D07CD" w:rsidRDefault="002D07CD" w:rsidP="002D07CD">
      <w:pPr>
        <w:ind w:left="1440" w:hanging="1440"/>
        <w:rPr>
          <w:rFonts w:ascii="Calibri" w:eastAsia="Calibri" w:hAnsi="Calibri" w:cs="Calibri"/>
          <w:color w:val="000000"/>
          <w:sz w:val="20"/>
          <w:szCs w:val="20"/>
        </w:rPr>
      </w:pPr>
    </w:p>
    <w:p w:rsidR="002D07CD" w:rsidRDefault="002D07CD" w:rsidP="002D07CD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2D07CD" w:rsidRDefault="002D07CD" w:rsidP="002D07CD">
      <w:pPr>
        <w:pStyle w:val="ListHead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 w:val="0"/>
          <w:color w:val="004080"/>
        </w:rPr>
        <w:t>Atributy:</w:t>
      </w:r>
    </w:p>
    <w:tbl>
      <w:tblPr>
        <w:tblW w:w="954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350"/>
        <w:gridCol w:w="1260"/>
        <w:gridCol w:w="1170"/>
        <w:gridCol w:w="900"/>
        <w:gridCol w:w="2340"/>
      </w:tblGrid>
      <w:tr w:rsidR="002D07CD" w:rsidTr="002D07CD">
        <w:trPr>
          <w:trHeight w:val="21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Alias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Stereotyp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Datový typ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Viditelnost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Defaultní hodnota</w:t>
            </w: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D4B4"/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Poznámka</w:t>
            </w: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castka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číslo desetinné (,)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castkaCM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číslo desetinné (,)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castkaKUhrade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číslo desetinné (,)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castkaKUhradeCM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číslo desetinné (,)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cisloFaktury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datumImportu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datum a čas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datumPlneni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datum a čas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datumSplatnosti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datum a čas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datumVystaveni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datum a čas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číslo desetinné (,)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druhDokladu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číslo celé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elektronickyPodpis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interniPoznamka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isdoc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25.4.2016 poznámka SK:</w:t>
            </w:r>
          </w:p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Sloupeček byl podle formátu zjevně myšlený na uložení obsahu isdoc souboru jako XML, ale aktuálně se do něj ukládá název „hlavního“ isdoc souboru.</w:t>
            </w:r>
          </w:p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konstSymbol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kurz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číslo desetinné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mena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poznamka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(4000)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specSymbol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stav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uidFaktury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uniqueidentifier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 faktury uvedené v ISDOC</w:t>
            </w:r>
          </w:p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variabSymbol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verze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«nepovinný»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zpusobUhrady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string (256)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Default="002D07CD" w:rsidP="002D07C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07CD" w:rsidTr="002D07CD">
        <w:trPr>
          <w:trHeight w:val="485"/>
        </w:trPr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Formát elektronické faktury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formatFaktruy</w:t>
            </w:r>
          </w:p>
        </w:tc>
        <w:tc>
          <w:tcPr>
            <w:tcW w:w="13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«povinný»</w:t>
            </w:r>
          </w:p>
        </w:tc>
        <w:tc>
          <w:tcPr>
            <w:tcW w:w="1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string</w:t>
            </w:r>
          </w:p>
        </w:tc>
        <w:tc>
          <w:tcPr>
            <w:tcW w:w="11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Public</w:t>
            </w:r>
          </w:p>
        </w:tc>
        <w:tc>
          <w:tcPr>
            <w:tcW w:w="9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ISDOC</w:t>
            </w:r>
          </w:p>
        </w:tc>
        <w:tc>
          <w:tcPr>
            <w:tcW w:w="23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ISDOC/ISDOC</w:t>
            </w:r>
          </w:p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CII/Meziodvětvová faktura</w:t>
            </w:r>
          </w:p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  <w:r w:rsidRPr="003014ED"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UBL/UBL</w:t>
            </w:r>
          </w:p>
          <w:p w:rsidR="002D07CD" w:rsidRPr="003014ED" w:rsidRDefault="002D07CD" w:rsidP="002D07CD">
            <w:pPr>
              <w:rPr>
                <w:rFonts w:ascii="Calibri" w:eastAsia="Calibri" w:hAnsi="Calibri" w:cs="Calibri"/>
                <w:color w:val="008000"/>
                <w:sz w:val="20"/>
                <w:szCs w:val="20"/>
              </w:rPr>
            </w:pPr>
          </w:p>
        </w:tc>
      </w:tr>
    </w:tbl>
    <w:p w:rsidR="002D07CD" w:rsidRDefault="002D07CD" w:rsidP="002D07CD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8619D5" w:rsidRDefault="008619D5"/>
    <w:sectPr w:rsidR="008619D5">
      <w:headerReference w:type="default" r:id="rId8"/>
      <w:pgSz w:w="11908" w:h="16833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6E" w:rsidRDefault="0014686E">
      <w:r>
        <w:separator/>
      </w:r>
    </w:p>
  </w:endnote>
  <w:endnote w:type="continuationSeparator" w:id="0">
    <w:p w:rsidR="0014686E" w:rsidRDefault="0014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6E" w:rsidRDefault="0014686E">
      <w:r>
        <w:separator/>
      </w:r>
    </w:p>
  </w:footnote>
  <w:footnote w:type="continuationSeparator" w:id="0">
    <w:p w:rsidR="0014686E" w:rsidRDefault="0014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83" w:type="dxa"/>
      <w:tblLayout w:type="fixed"/>
      <w:tblCellMar>
        <w:left w:w="60" w:type="dxa"/>
        <w:right w:w="60" w:type="dxa"/>
      </w:tblCellMar>
      <w:tblLook w:val="04A0" w:firstRow="1" w:lastRow="0" w:firstColumn="1" w:lastColumn="0" w:noHBand="0" w:noVBand="1"/>
    </w:tblPr>
    <w:tblGrid>
      <w:gridCol w:w="3510"/>
      <w:gridCol w:w="2250"/>
      <w:gridCol w:w="3600"/>
    </w:tblGrid>
    <w:tr w:rsidR="002D07CD">
      <w:trPr>
        <w:trHeight w:val="230"/>
      </w:trPr>
      <w:tc>
        <w:tcPr>
          <w:tcW w:w="3510" w:type="dxa"/>
          <w:tcBorders>
            <w:bottom w:val="single" w:sz="1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2D07CD" w:rsidRDefault="002D07CD">
          <w:pPr>
            <w:pStyle w:val="Zhlav"/>
            <w:tabs>
              <w:tab w:val="left" w:pos="4320"/>
            </w:tabs>
            <w:rPr>
              <w:rFonts w:ascii="Calibri" w:eastAsia="Calibri" w:hAnsi="Calibri" w:cs="Calibri"/>
              <w:color w:val="auto"/>
              <w:u w:val="single"/>
            </w:rPr>
          </w:pPr>
          <w:r>
            <w:rPr>
              <w:rFonts w:ascii="Calibri" w:eastAsia="Calibri" w:hAnsi="Calibri" w:cs="Calibri"/>
              <w:color w:val="auto"/>
              <w:u w:val="single"/>
            </w:rPr>
            <w:t>Zadání práce - Use Case</w:t>
          </w:r>
        </w:p>
      </w:tc>
      <w:tc>
        <w:tcPr>
          <w:tcW w:w="2250" w:type="dxa"/>
          <w:tcBorders>
            <w:bottom w:val="single" w:sz="1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2D07CD" w:rsidRDefault="002D07CD">
          <w:pPr>
            <w:pStyle w:val="Zhlav"/>
            <w:tabs>
              <w:tab w:val="left" w:pos="4320"/>
            </w:tabs>
            <w:jc w:val="center"/>
            <w:rPr>
              <w:rFonts w:ascii="Calibri" w:eastAsia="Calibri" w:hAnsi="Calibri" w:cs="Calibri"/>
              <w:color w:val="auto"/>
              <w:u w:val="single"/>
            </w:rPr>
          </w:pPr>
        </w:p>
      </w:tc>
      <w:tc>
        <w:tcPr>
          <w:tcW w:w="3600" w:type="dxa"/>
          <w:tcBorders>
            <w:bottom w:val="single" w:sz="1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2D07CD" w:rsidRDefault="002D07CD">
          <w:pPr>
            <w:pStyle w:val="Zhlav"/>
            <w:tabs>
              <w:tab w:val="left" w:pos="4320"/>
            </w:tabs>
            <w:jc w:val="right"/>
            <w:rPr>
              <w:rFonts w:ascii="Calibri" w:eastAsia="Calibri" w:hAnsi="Calibri" w:cs="Calibri"/>
              <w:color w:val="auto"/>
              <w:u w:val="single"/>
            </w:rPr>
          </w:pPr>
          <w:r>
            <w:rPr>
              <w:rFonts w:ascii="Calibri" w:eastAsia="Calibri" w:hAnsi="Calibri" w:cs="Calibri"/>
              <w:color w:val="auto"/>
              <w:u w:val="single"/>
            </w:rPr>
            <w:t xml:space="preserve">Strana: </w:t>
          </w:r>
          <w:r>
            <w:rPr>
              <w:rFonts w:ascii="Calibri" w:eastAsia="Calibri" w:hAnsi="Calibri" w:cs="Calibri"/>
              <w:color w:val="auto"/>
              <w:u w:val="single"/>
            </w:rPr>
            <w:fldChar w:fldCharType="begin"/>
          </w:r>
          <w:r>
            <w:rPr>
              <w:rFonts w:ascii="Calibri" w:eastAsia="Calibri" w:hAnsi="Calibri" w:cs="Calibri"/>
              <w:color w:val="auto"/>
              <w:u w:val="single"/>
            </w:rPr>
            <w:instrText xml:space="preserve">PAGE </w:instrText>
          </w:r>
          <w:r>
            <w:rPr>
              <w:rFonts w:ascii="Calibri" w:eastAsia="Calibri" w:hAnsi="Calibri" w:cs="Calibri"/>
              <w:color w:val="auto"/>
              <w:u w:val="single"/>
            </w:rPr>
            <w:fldChar w:fldCharType="separate"/>
          </w:r>
          <w:r w:rsidR="00623257">
            <w:rPr>
              <w:rFonts w:ascii="Calibri" w:eastAsia="Calibri" w:hAnsi="Calibri" w:cs="Calibri"/>
              <w:noProof/>
              <w:color w:val="auto"/>
              <w:u w:val="single"/>
            </w:rPr>
            <w:t>4</w:t>
          </w:r>
          <w:r>
            <w:fldChar w:fldCharType="end"/>
          </w:r>
        </w:p>
      </w:tc>
    </w:tr>
  </w:tbl>
  <w:p w:rsidR="002D07CD" w:rsidRDefault="002D07CD">
    <w:pPr>
      <w:pStyle w:val="Zhlav"/>
      <w:tabs>
        <w:tab w:val="left" w:pos="4320"/>
      </w:tabs>
      <w:ind w:left="23"/>
      <w:jc w:val="right"/>
      <w:rPr>
        <w:rFonts w:ascii="Calibri" w:eastAsia="Calibri" w:hAnsi="Calibri" w:cs="Calibri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0CE7C5A"/>
    <w:name w:val="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0002"/>
    <w:multiLevelType w:val="multilevel"/>
    <w:tmpl w:val="0798C7E6"/>
    <w:name w:val="List2"/>
    <w:lvl w:ilvl="0">
      <w:start w:val="1"/>
      <w:numFmt w:val="bullet"/>
      <w:lvlText w:val="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0000004"/>
    <w:multiLevelType w:val="multilevel"/>
    <w:tmpl w:val="6A70D944"/>
    <w:name w:val="List4021093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3" w15:restartNumberingAfterBreak="0">
    <w:nsid w:val="00000006"/>
    <w:multiLevelType w:val="multilevel"/>
    <w:tmpl w:val="90520E62"/>
    <w:name w:val="List5973218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4" w15:restartNumberingAfterBreak="0">
    <w:nsid w:val="00000007"/>
    <w:multiLevelType w:val="multilevel"/>
    <w:tmpl w:val="49968BD6"/>
    <w:name w:val="List6069468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5" w15:restartNumberingAfterBreak="0">
    <w:nsid w:val="06C2010D"/>
    <w:multiLevelType w:val="hybridMultilevel"/>
    <w:tmpl w:val="12C2D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B7CAC"/>
    <w:multiLevelType w:val="hybridMultilevel"/>
    <w:tmpl w:val="204A12DE"/>
    <w:lvl w:ilvl="0" w:tplc="6C686C38">
      <w:numFmt w:val="bullet"/>
      <w:lvlText w:val="-"/>
      <w:lvlJc w:val="left"/>
      <w:pPr>
        <w:ind w:left="38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7" w15:restartNumberingAfterBreak="0">
    <w:nsid w:val="0E1E4F4E"/>
    <w:multiLevelType w:val="hybridMultilevel"/>
    <w:tmpl w:val="12F248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87D6B"/>
    <w:multiLevelType w:val="hybridMultilevel"/>
    <w:tmpl w:val="7328493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40A64B"/>
    <w:multiLevelType w:val="multilevel"/>
    <w:tmpl w:val="2E72163A"/>
    <w:name w:val="List333675921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2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3">
    <w:abstractNumId w:val="3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5">
    <w:abstractNumId w:val="9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alwaysMergeEmptyNamespace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8619D5"/>
    <w:rsid w:val="0014686E"/>
    <w:rsid w:val="00262556"/>
    <w:rsid w:val="002D07CD"/>
    <w:rsid w:val="003014ED"/>
    <w:rsid w:val="003C5BAD"/>
    <w:rsid w:val="00456F55"/>
    <w:rsid w:val="00623257"/>
    <w:rsid w:val="008619D5"/>
    <w:rsid w:val="00A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5EB8"/>
  <w15:docId w15:val="{86370A3A-43A8-4778-8496-BF8E2EEA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outlineLvl w:val="0"/>
    </w:pPr>
    <w:rPr>
      <w:b/>
      <w:color w:val="004080"/>
      <w:sz w:val="32"/>
      <w:szCs w:val="32"/>
    </w:rPr>
  </w:style>
  <w:style w:type="paragraph" w:styleId="Nadpis2">
    <w:name w:val="heading 2"/>
    <w:basedOn w:val="Normln"/>
    <w:next w:val="Normln"/>
    <w:pPr>
      <w:outlineLvl w:val="1"/>
    </w:pPr>
    <w:rPr>
      <w:b/>
      <w:color w:val="004080"/>
      <w:sz w:val="28"/>
      <w:szCs w:val="28"/>
    </w:rPr>
  </w:style>
  <w:style w:type="paragraph" w:styleId="Nadpis3">
    <w:name w:val="heading 3"/>
    <w:basedOn w:val="Normln"/>
    <w:next w:val="Normln"/>
    <w:pPr>
      <w:outlineLvl w:val="2"/>
    </w:pPr>
    <w:rPr>
      <w:b/>
      <w:color w:val="004080"/>
      <w:sz w:val="26"/>
      <w:szCs w:val="26"/>
    </w:rPr>
  </w:style>
  <w:style w:type="paragraph" w:styleId="Nadpis4">
    <w:name w:val="heading 4"/>
    <w:basedOn w:val="Normln"/>
    <w:next w:val="Normln"/>
    <w:pPr>
      <w:outlineLvl w:val="3"/>
    </w:pPr>
    <w:rPr>
      <w:b/>
      <w:color w:val="004080"/>
      <w:sz w:val="26"/>
      <w:szCs w:val="26"/>
    </w:rPr>
  </w:style>
  <w:style w:type="paragraph" w:styleId="Nadpis5">
    <w:name w:val="heading 5"/>
    <w:basedOn w:val="Normln"/>
    <w:next w:val="Normln"/>
    <w:pPr>
      <w:outlineLvl w:val="4"/>
    </w:pPr>
    <w:rPr>
      <w:b/>
      <w:i/>
      <w:color w:val="004080"/>
      <w:sz w:val="26"/>
      <w:szCs w:val="26"/>
    </w:rPr>
  </w:style>
  <w:style w:type="paragraph" w:styleId="Nadpis6">
    <w:name w:val="heading 6"/>
    <w:basedOn w:val="Normln"/>
    <w:next w:val="Normln"/>
    <w:pPr>
      <w:outlineLvl w:val="5"/>
    </w:pPr>
    <w:rPr>
      <w:b/>
      <w:color w:val="004080"/>
      <w:sz w:val="22"/>
      <w:szCs w:val="22"/>
    </w:rPr>
  </w:style>
  <w:style w:type="paragraph" w:styleId="Nadpis7">
    <w:name w:val="heading 7"/>
    <w:basedOn w:val="Normln"/>
    <w:next w:val="Normln"/>
    <w:pPr>
      <w:outlineLvl w:val="6"/>
    </w:pPr>
    <w:rPr>
      <w:color w:val="004080"/>
    </w:rPr>
  </w:style>
  <w:style w:type="paragraph" w:styleId="Nadpis8">
    <w:name w:val="heading 8"/>
    <w:basedOn w:val="Normln"/>
    <w:next w:val="Normln"/>
    <w:pPr>
      <w:outlineLvl w:val="7"/>
    </w:pPr>
    <w:rPr>
      <w:i/>
      <w:color w:val="004080"/>
    </w:rPr>
  </w:style>
  <w:style w:type="paragraph" w:styleId="Nadpis9">
    <w:name w:val="heading 9"/>
    <w:basedOn w:val="Normln"/>
    <w:next w:val="Normln"/>
    <w:pPr>
      <w:outlineLvl w:val="8"/>
    </w:pPr>
    <w:rPr>
      <w:color w:val="0040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pacing w:val="0"/>
      <w:w w:val="100"/>
      <w:position w:val="0"/>
      <w:sz w:val="16"/>
      <w:szCs w:val="16"/>
      <w:shd w:val="clear" w:color="auto" w:fill="FFFF80"/>
    </w:rPr>
  </w:style>
  <w:style w:type="paragraph" w:styleId="Obsah1">
    <w:name w:val="toc 1"/>
    <w:basedOn w:val="Normln"/>
    <w:next w:val="Normln"/>
    <w:rPr>
      <w:color w:val="000000"/>
    </w:rPr>
  </w:style>
  <w:style w:type="paragraph" w:styleId="Obsah2">
    <w:name w:val="toc 2"/>
    <w:basedOn w:val="Normln"/>
    <w:next w:val="Normln"/>
    <w:pPr>
      <w:ind w:left="180"/>
    </w:pPr>
    <w:rPr>
      <w:color w:val="000000"/>
    </w:rPr>
  </w:style>
  <w:style w:type="paragraph" w:styleId="Obsah3">
    <w:name w:val="toc 3"/>
    <w:basedOn w:val="Normln"/>
    <w:next w:val="Normln"/>
    <w:pPr>
      <w:ind w:left="360"/>
    </w:pPr>
    <w:rPr>
      <w:color w:val="000000"/>
    </w:rPr>
  </w:style>
  <w:style w:type="paragraph" w:styleId="Obsah4">
    <w:name w:val="toc 4"/>
    <w:basedOn w:val="Normln"/>
    <w:next w:val="Normln"/>
    <w:pPr>
      <w:ind w:left="540"/>
    </w:pPr>
    <w:rPr>
      <w:color w:val="000000"/>
    </w:rPr>
  </w:style>
  <w:style w:type="paragraph" w:styleId="Obsah5">
    <w:name w:val="toc 5"/>
    <w:basedOn w:val="Normln"/>
    <w:next w:val="Normln"/>
    <w:pPr>
      <w:ind w:left="720"/>
    </w:pPr>
    <w:rPr>
      <w:color w:val="000000"/>
    </w:rPr>
  </w:style>
  <w:style w:type="paragraph" w:styleId="Obsah6">
    <w:name w:val="toc 6"/>
    <w:basedOn w:val="Normln"/>
    <w:next w:val="Normln"/>
    <w:pPr>
      <w:ind w:left="900"/>
    </w:pPr>
    <w:rPr>
      <w:color w:val="000000"/>
    </w:rPr>
  </w:style>
  <w:style w:type="paragraph" w:styleId="Obsah7">
    <w:name w:val="toc 7"/>
    <w:basedOn w:val="Normln"/>
    <w:next w:val="Normln"/>
    <w:pPr>
      <w:ind w:left="1080"/>
    </w:pPr>
    <w:rPr>
      <w:color w:val="000000"/>
    </w:rPr>
  </w:style>
  <w:style w:type="paragraph" w:styleId="Obsah8">
    <w:name w:val="toc 8"/>
    <w:basedOn w:val="Normln"/>
    <w:next w:val="Normln"/>
    <w:pPr>
      <w:ind w:left="1260"/>
    </w:pPr>
    <w:rPr>
      <w:color w:val="000000"/>
    </w:rPr>
  </w:style>
  <w:style w:type="paragraph" w:styleId="Obsah9">
    <w:name w:val="toc 9"/>
    <w:basedOn w:val="Normln"/>
    <w:next w:val="Normln"/>
    <w:pPr>
      <w:ind w:left="1440"/>
    </w:pPr>
    <w:rPr>
      <w:color w:val="000000"/>
    </w:rPr>
  </w:style>
  <w:style w:type="paragraph" w:styleId="Nzev">
    <w:name w:val="Title"/>
    <w:basedOn w:val="Normln"/>
    <w:next w:val="Normln"/>
    <w:pPr>
      <w:spacing w:before="240" w:after="60"/>
      <w:jc w:val="center"/>
    </w:pPr>
    <w:rPr>
      <w:b/>
      <w:color w:val="000000"/>
      <w:sz w:val="32"/>
      <w:szCs w:val="32"/>
    </w:rPr>
  </w:style>
  <w:style w:type="paragraph" w:customStyle="1" w:styleId="NumberedList">
    <w:name w:val="Numbered List"/>
    <w:basedOn w:val="Normln"/>
    <w:next w:val="Normln"/>
    <w:pPr>
      <w:ind w:left="360" w:hanging="360"/>
    </w:pPr>
    <w:rPr>
      <w:color w:val="000000"/>
      <w:sz w:val="20"/>
      <w:szCs w:val="20"/>
    </w:rPr>
  </w:style>
  <w:style w:type="paragraph" w:customStyle="1" w:styleId="BulletedList">
    <w:name w:val="Bulleted List"/>
    <w:basedOn w:val="Normln"/>
    <w:next w:val="Normln"/>
    <w:pPr>
      <w:ind w:left="360" w:hanging="360"/>
    </w:pPr>
    <w:rPr>
      <w:color w:val="000000"/>
      <w:sz w:val="20"/>
      <w:szCs w:val="20"/>
    </w:rPr>
  </w:style>
  <w:style w:type="paragraph" w:styleId="Zkladntext">
    <w:name w:val="Body Text"/>
    <w:basedOn w:val="Normln"/>
    <w:next w:val="Normln"/>
    <w:pPr>
      <w:spacing w:after="120"/>
    </w:pPr>
    <w:rPr>
      <w:color w:val="000000"/>
      <w:sz w:val="20"/>
      <w:szCs w:val="20"/>
    </w:rPr>
  </w:style>
  <w:style w:type="paragraph" w:styleId="Zkladntext2">
    <w:name w:val="Body Text 2"/>
    <w:basedOn w:val="Normln"/>
    <w:next w:val="Normln"/>
    <w:pPr>
      <w:spacing w:after="120" w:line="480" w:lineRule="auto"/>
    </w:pPr>
    <w:rPr>
      <w:color w:val="000000"/>
      <w:sz w:val="18"/>
      <w:szCs w:val="18"/>
    </w:rPr>
  </w:style>
  <w:style w:type="paragraph" w:styleId="Zkladntext3">
    <w:name w:val="Body Text 3"/>
    <w:basedOn w:val="Normln"/>
    <w:next w:val="Normln"/>
    <w:pPr>
      <w:spacing w:after="120"/>
    </w:pPr>
    <w:rPr>
      <w:color w:val="000000"/>
      <w:sz w:val="16"/>
      <w:szCs w:val="16"/>
    </w:rPr>
  </w:style>
  <w:style w:type="paragraph" w:styleId="Nadpispoznmky">
    <w:name w:val="Note Heading"/>
    <w:basedOn w:val="Normln"/>
    <w:next w:val="Normln"/>
    <w:rPr>
      <w:color w:val="000000"/>
      <w:sz w:val="20"/>
      <w:szCs w:val="20"/>
    </w:rPr>
  </w:style>
  <w:style w:type="paragraph" w:styleId="Prosttext">
    <w:name w:val="Plain Text"/>
    <w:basedOn w:val="Normln"/>
    <w:next w:val="Normln"/>
    <w:rPr>
      <w:color w:val="000000"/>
      <w:sz w:val="20"/>
      <w:szCs w:val="20"/>
    </w:rPr>
  </w:style>
  <w:style w:type="paragraph" w:customStyle="1" w:styleId="Siln1">
    <w:name w:val="Silné1"/>
    <w:basedOn w:val="Normln"/>
    <w:next w:val="Normln"/>
    <w:rPr>
      <w:b/>
      <w:color w:val="000000"/>
      <w:sz w:val="20"/>
      <w:szCs w:val="20"/>
    </w:rPr>
  </w:style>
  <w:style w:type="paragraph" w:customStyle="1" w:styleId="Zdraznn1">
    <w:name w:val="Zdůraznění1"/>
    <w:basedOn w:val="Normln"/>
    <w:next w:val="Normln"/>
    <w:rPr>
      <w:i/>
      <w:color w:val="000000"/>
      <w:sz w:val="20"/>
      <w:szCs w:val="20"/>
    </w:rPr>
  </w:style>
  <w:style w:type="paragraph" w:customStyle="1" w:styleId="Hypertextovodkaz1">
    <w:name w:val="Hypertextový odkaz1"/>
    <w:basedOn w:val="Normln"/>
    <w:next w:val="Normln"/>
    <w:rPr>
      <w:color w:val="0000FF"/>
      <w:sz w:val="20"/>
      <w:szCs w:val="20"/>
      <w:u w:val="single" w:color="000000"/>
    </w:rPr>
  </w:style>
  <w:style w:type="paragraph" w:styleId="Zpat">
    <w:name w:val="footer"/>
    <w:basedOn w:val="Normln"/>
    <w:next w:val="Normln"/>
    <w:rPr>
      <w:color w:val="000000"/>
      <w:sz w:val="20"/>
      <w:szCs w:val="20"/>
    </w:rPr>
  </w:style>
  <w:style w:type="paragraph" w:styleId="Zhlav">
    <w:name w:val="header"/>
    <w:basedOn w:val="Normln"/>
    <w:next w:val="Normln"/>
    <w:rPr>
      <w:color w:val="000000"/>
      <w:sz w:val="20"/>
      <w:szCs w:val="20"/>
    </w:rPr>
  </w:style>
  <w:style w:type="paragraph" w:customStyle="1" w:styleId="Code">
    <w:name w:val="Code"/>
    <w:basedOn w:val="Normln"/>
    <w:next w:val="Normln"/>
    <w:rPr>
      <w:color w:val="000000"/>
      <w:sz w:val="18"/>
      <w:szCs w:val="18"/>
    </w:rPr>
  </w:style>
  <w:style w:type="character" w:customStyle="1" w:styleId="FieldLabel">
    <w:name w:val="Field Label"/>
    <w:rPr>
      <w:rFonts w:ascii="Arial" w:eastAsia="Arial" w:hAnsi="Arial" w:cs="Arial"/>
      <w:i/>
      <w:color w:val="004080"/>
      <w:spacing w:val="0"/>
      <w:w w:val="100"/>
      <w:position w:val="0"/>
      <w:sz w:val="20"/>
      <w:szCs w:val="20"/>
    </w:rPr>
  </w:style>
  <w:style w:type="character" w:customStyle="1" w:styleId="TableHeading">
    <w:name w:val="Table Heading"/>
    <w:rPr>
      <w:rFonts w:ascii="Arial" w:eastAsia="Arial" w:hAnsi="Arial" w:cs="Arial"/>
      <w:b/>
      <w:color w:val="000000"/>
      <w:spacing w:val="0"/>
      <w:w w:val="100"/>
      <w:position w:val="0"/>
      <w:sz w:val="22"/>
      <w:szCs w:val="22"/>
    </w:rPr>
  </w:style>
  <w:style w:type="character" w:customStyle="1" w:styleId="Objecttype">
    <w:name w:val="Object type"/>
    <w:rPr>
      <w:rFonts w:ascii="Arial" w:eastAsia="Arial" w:hAnsi="Arial" w:cs="Arial"/>
      <w:b/>
      <w:color w:val="000000"/>
      <w:spacing w:val="0"/>
      <w:w w:val="100"/>
      <w:position w:val="0"/>
      <w:sz w:val="20"/>
      <w:szCs w:val="20"/>
      <w:u w:val="single" w:color="000000"/>
    </w:rPr>
  </w:style>
  <w:style w:type="paragraph" w:customStyle="1" w:styleId="ListHeader">
    <w:name w:val="List Header"/>
    <w:basedOn w:val="Normln"/>
    <w:next w:val="Normln"/>
    <w:rPr>
      <w:b/>
      <w:i/>
      <w:color w:val="0000A0"/>
      <w:sz w:val="20"/>
      <w:szCs w:val="20"/>
    </w:rPr>
  </w:style>
  <w:style w:type="paragraph" w:customStyle="1" w:styleId="a">
    <w:basedOn w:val="Normln"/>
    <w:next w:val="Normln"/>
    <w:rPr>
      <w:color w:val="000000"/>
      <w:sz w:val="20"/>
      <w:szCs w:val="20"/>
    </w:rPr>
  </w:style>
  <w:style w:type="paragraph" w:customStyle="1" w:styleId="SSWZkladntext">
    <w:name w:val="SSW Zkladn text"/>
    <w:basedOn w:val="Normln"/>
    <w:pPr>
      <w:keepLines/>
      <w:spacing w:before="60" w:after="60"/>
      <w:jc w:val="both"/>
    </w:pPr>
  </w:style>
  <w:style w:type="character" w:customStyle="1" w:styleId="SSWZkladntextChar">
    <w:name w:val="SSW Zkladn text Char"/>
    <w:rPr>
      <w:sz w:val="24"/>
      <w:szCs w:val="24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paragraph" w:styleId="Odstavecseseznamem">
    <w:name w:val="List Paragraph"/>
    <w:basedOn w:val="Normln"/>
    <w:pPr>
      <w:spacing w:line="276" w:lineRule="auto"/>
      <w:ind w:left="720"/>
      <w:contextualSpacing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5863</Words>
  <Characters>34593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Maštalíř Vít</cp:lastModifiedBy>
  <cp:revision>5</cp:revision>
  <dcterms:created xsi:type="dcterms:W3CDTF">2018-07-24T10:22:00Z</dcterms:created>
  <dcterms:modified xsi:type="dcterms:W3CDTF">2018-07-24T08:54:00Z</dcterms:modified>
</cp:coreProperties>
</file>